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D54143" w14:textId="43BF04BD" w:rsidR="00CA0ADA" w:rsidRDefault="00CA0ADA" w:rsidP="003F4E19">
      <w:pPr>
        <w:spacing w:after="0" w:line="240" w:lineRule="auto"/>
        <w:jc w:val="center"/>
        <w:rPr>
          <w:rFonts w:ascii="Arial Narrow" w:hAnsi="Arial Narrow" w:cs="Arial"/>
          <w:b/>
        </w:rPr>
      </w:pPr>
      <w:bookmarkStart w:id="0" w:name="_GoBack"/>
      <w:r>
        <w:rPr>
          <w:rFonts w:ascii="Arial Narrow" w:hAnsi="Arial Narrow" w:cs="Arial"/>
          <w:b/>
          <w:noProof/>
          <w:lang w:eastAsia="es-MX"/>
        </w:rPr>
        <w:drawing>
          <wp:anchor distT="0" distB="0" distL="114300" distR="114300" simplePos="0" relativeHeight="251658240" behindDoc="0" locked="0" layoutInCell="1" allowOverlap="1" wp14:anchorId="62195D5E" wp14:editId="41462093">
            <wp:simplePos x="0" y="0"/>
            <wp:positionH relativeFrom="column">
              <wp:posOffset>-720090</wp:posOffset>
            </wp:positionH>
            <wp:positionV relativeFrom="paragraph">
              <wp:posOffset>-951230</wp:posOffset>
            </wp:positionV>
            <wp:extent cx="7772400" cy="10059670"/>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2400" cy="100596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6635951C" w14:textId="77777777" w:rsidR="00CA0ADA" w:rsidRDefault="00CA0ADA" w:rsidP="003F4E19">
      <w:pPr>
        <w:spacing w:after="0" w:line="240" w:lineRule="auto"/>
        <w:jc w:val="center"/>
        <w:rPr>
          <w:rFonts w:ascii="Arial Narrow" w:hAnsi="Arial Narrow" w:cs="Arial"/>
          <w:b/>
        </w:rPr>
      </w:pPr>
    </w:p>
    <w:p w14:paraId="30A630FC" w14:textId="77777777" w:rsidR="00CA0ADA" w:rsidRDefault="00CA0ADA" w:rsidP="003F4E19">
      <w:pPr>
        <w:spacing w:after="0" w:line="240" w:lineRule="auto"/>
        <w:jc w:val="center"/>
        <w:rPr>
          <w:rFonts w:ascii="Arial Narrow" w:hAnsi="Arial Narrow" w:cs="Arial"/>
          <w:b/>
        </w:rPr>
      </w:pPr>
    </w:p>
    <w:p w14:paraId="72B1F6E8" w14:textId="77777777" w:rsidR="00CA0ADA" w:rsidRDefault="00CA0ADA" w:rsidP="003F4E19">
      <w:pPr>
        <w:spacing w:after="0" w:line="240" w:lineRule="auto"/>
        <w:jc w:val="center"/>
        <w:rPr>
          <w:rFonts w:ascii="Arial Narrow" w:hAnsi="Arial Narrow" w:cs="Arial"/>
          <w:b/>
        </w:rPr>
      </w:pPr>
    </w:p>
    <w:p w14:paraId="305A0770" w14:textId="77777777" w:rsidR="00CA0ADA" w:rsidRDefault="00CA0ADA" w:rsidP="003F4E19">
      <w:pPr>
        <w:spacing w:after="0" w:line="240" w:lineRule="auto"/>
        <w:jc w:val="center"/>
        <w:rPr>
          <w:rFonts w:ascii="Arial Narrow" w:hAnsi="Arial Narrow" w:cs="Arial"/>
          <w:b/>
        </w:rPr>
      </w:pPr>
    </w:p>
    <w:p w14:paraId="08DC0F69" w14:textId="77777777" w:rsidR="00CA0ADA" w:rsidRDefault="00CA0ADA" w:rsidP="003F4E19">
      <w:pPr>
        <w:spacing w:after="0" w:line="240" w:lineRule="auto"/>
        <w:jc w:val="center"/>
        <w:rPr>
          <w:rFonts w:ascii="Arial Narrow" w:hAnsi="Arial Narrow" w:cs="Arial"/>
          <w:b/>
        </w:rPr>
      </w:pPr>
    </w:p>
    <w:p w14:paraId="7D47D9B3" w14:textId="77777777" w:rsidR="00CA0ADA" w:rsidRDefault="00CA0ADA" w:rsidP="003F4E19">
      <w:pPr>
        <w:spacing w:after="0" w:line="240" w:lineRule="auto"/>
        <w:jc w:val="center"/>
        <w:rPr>
          <w:rFonts w:ascii="Arial Narrow" w:hAnsi="Arial Narrow" w:cs="Arial"/>
          <w:b/>
        </w:rPr>
      </w:pPr>
    </w:p>
    <w:p w14:paraId="3956D2A2" w14:textId="11A360A3" w:rsidR="003F4E19" w:rsidRDefault="003F4E19" w:rsidP="003F4E19">
      <w:pPr>
        <w:spacing w:after="0" w:line="240" w:lineRule="auto"/>
        <w:jc w:val="center"/>
        <w:rPr>
          <w:rFonts w:ascii="Arial Narrow" w:hAnsi="Arial Narrow" w:cs="Arial"/>
          <w:b/>
        </w:rPr>
      </w:pPr>
      <w:r>
        <w:rPr>
          <w:rFonts w:ascii="Arial Narrow" w:hAnsi="Arial Narrow" w:cs="Arial"/>
          <w:b/>
        </w:rPr>
        <w:t xml:space="preserve">Análisis de la autoevaluación académica </w:t>
      </w:r>
    </w:p>
    <w:p w14:paraId="52DB73D5" w14:textId="77777777" w:rsidR="003F4E19" w:rsidRDefault="003F4E19" w:rsidP="00DE06D7">
      <w:pPr>
        <w:spacing w:after="0" w:line="240" w:lineRule="auto"/>
        <w:rPr>
          <w:rFonts w:ascii="Arial Narrow" w:hAnsi="Arial Narrow" w:cs="Arial"/>
          <w:b/>
        </w:rPr>
      </w:pPr>
    </w:p>
    <w:p w14:paraId="6A30C4D9" w14:textId="77777777" w:rsidR="00DE06D7" w:rsidRDefault="00730AC9" w:rsidP="00DE06D7">
      <w:pPr>
        <w:spacing w:after="0" w:line="240" w:lineRule="auto"/>
        <w:rPr>
          <w:rFonts w:ascii="Arial Narrow" w:hAnsi="Arial Narrow" w:cs="Arial"/>
          <w:b/>
        </w:rPr>
      </w:pPr>
      <w:r>
        <w:rPr>
          <w:rFonts w:ascii="Arial Narrow" w:hAnsi="Arial Narrow" w:cs="Arial"/>
          <w:b/>
        </w:rPr>
        <w:t>1.</w:t>
      </w:r>
      <w:r w:rsidR="00DE06D7">
        <w:rPr>
          <w:rFonts w:ascii="Arial Narrow" w:hAnsi="Arial Narrow" w:cs="Arial"/>
          <w:b/>
        </w:rPr>
        <w:t xml:space="preserve"> Análisis de cobertura con equidad  </w:t>
      </w:r>
    </w:p>
    <w:p w14:paraId="38933670" w14:textId="1AE9367C" w:rsidR="00730AC9" w:rsidRDefault="00DE06D7" w:rsidP="00DE06D7">
      <w:pPr>
        <w:spacing w:after="0" w:line="240" w:lineRule="auto"/>
        <w:rPr>
          <w:rFonts w:ascii="Arial Narrow" w:hAnsi="Arial Narrow" w:cs="Arial"/>
          <w:b/>
        </w:rPr>
      </w:pPr>
      <w:r w:rsidRPr="00DE06D7">
        <w:rPr>
          <w:rFonts w:ascii="Arial Narrow" w:hAnsi="Arial Narrow" w:cs="Arial"/>
        </w:rPr>
        <w:t xml:space="preserve">Este análisis es </w:t>
      </w:r>
      <w:r w:rsidR="009248AC">
        <w:rPr>
          <w:rFonts w:ascii="Arial Narrow" w:hAnsi="Arial Narrow" w:cs="Arial"/>
        </w:rPr>
        <w:t>de ámbito</w:t>
      </w:r>
      <w:r w:rsidRPr="00DE06D7">
        <w:rPr>
          <w:rFonts w:ascii="Arial Narrow" w:hAnsi="Arial Narrow" w:cs="Arial"/>
        </w:rPr>
        <w:t xml:space="preserve"> institucional</w:t>
      </w:r>
      <w:r>
        <w:rPr>
          <w:rFonts w:ascii="Arial Narrow" w:hAnsi="Arial Narrow" w:cs="Arial"/>
          <w:b/>
        </w:rPr>
        <w:t xml:space="preserve"> </w:t>
      </w:r>
    </w:p>
    <w:p w14:paraId="7C2A77BF" w14:textId="77777777" w:rsidR="00E73730" w:rsidRDefault="00E73730" w:rsidP="00DE06D7">
      <w:pPr>
        <w:spacing w:after="0" w:line="240" w:lineRule="auto"/>
        <w:rPr>
          <w:rFonts w:ascii="Arial Narrow" w:hAnsi="Arial Narrow" w:cs="Arial"/>
          <w:b/>
        </w:rPr>
      </w:pPr>
    </w:p>
    <w:p w14:paraId="283E94C7" w14:textId="521D5461" w:rsidR="00E73730" w:rsidRPr="00E73730" w:rsidRDefault="00E73730" w:rsidP="00E73730">
      <w:pPr>
        <w:spacing w:after="0" w:line="240" w:lineRule="auto"/>
        <w:jc w:val="both"/>
        <w:rPr>
          <w:rFonts w:ascii="Arial Narrow" w:hAnsi="Arial Narrow" w:cs="Arial"/>
          <w:b/>
        </w:rPr>
      </w:pPr>
      <w:r>
        <w:rPr>
          <w:rFonts w:ascii="Arial Narrow" w:hAnsi="Arial Narrow" w:cs="Arial"/>
          <w:b/>
        </w:rPr>
        <w:t>2. Análisis de programas de estudios flexibles e integrales</w:t>
      </w:r>
    </w:p>
    <w:p w14:paraId="03C08539" w14:textId="29370132" w:rsidR="00E73730" w:rsidRDefault="00E73730" w:rsidP="00E73730">
      <w:pPr>
        <w:spacing w:after="0" w:line="240" w:lineRule="auto"/>
        <w:jc w:val="both"/>
        <w:rPr>
          <w:rFonts w:ascii="Arial Narrow" w:hAnsi="Arial Narrow"/>
        </w:rPr>
      </w:pPr>
      <w:r>
        <w:rPr>
          <w:rFonts w:ascii="Arial Narrow" w:hAnsi="Arial Narrow"/>
        </w:rPr>
        <w:t xml:space="preserve">Si bien los programas educativos de </w:t>
      </w:r>
      <w:proofErr w:type="spellStart"/>
      <w:r>
        <w:rPr>
          <w:rFonts w:ascii="Arial Narrow" w:hAnsi="Arial Narrow"/>
        </w:rPr>
        <w:t>CUTonalá</w:t>
      </w:r>
      <w:proofErr w:type="spellEnd"/>
      <w:r>
        <w:rPr>
          <w:rFonts w:ascii="Arial Narrow" w:hAnsi="Arial Narrow"/>
        </w:rPr>
        <w:t xml:space="preserve"> cuentan con profesores que han tomado capacitación docente, estos trabajan para solventar la necesidad de intensificar actualizaciones en el tema del proceso de enseñanza-aprendizaje por competencias, de flexibilidad curricular, estrategias didácticas, elaboración de reactivos con metodología de exámenes terminales, entre otros tópicos. Se considera como una fortaleza mantener la impartición de cursos de nivelación para alumnos de nuevo ingreso, además de los que </w:t>
      </w:r>
      <w:r w:rsidRPr="00537844">
        <w:rPr>
          <w:rFonts w:ascii="Arial Narrow" w:hAnsi="Arial Narrow"/>
        </w:rPr>
        <w:t>contribuyan al desarrollo de habilidades y competencias para el rendimiento académico.</w:t>
      </w:r>
      <w:r>
        <w:rPr>
          <w:rFonts w:ascii="Arial Narrow" w:hAnsi="Arial Narrow"/>
        </w:rPr>
        <w:t xml:space="preserve"> Se cuenta con asignaturas optativas abiertas y se tienen identificadas las unidades de aprendizaje que pueden ser impartidas en modalidad virtual y semipresencial, </w:t>
      </w:r>
      <w:r w:rsidRPr="0073708C">
        <w:rPr>
          <w:rFonts w:ascii="Arial Narrow" w:hAnsi="Arial Narrow"/>
        </w:rPr>
        <w:t xml:space="preserve">bloques </w:t>
      </w:r>
      <w:proofErr w:type="spellStart"/>
      <w:r w:rsidRPr="0073708C">
        <w:rPr>
          <w:rFonts w:ascii="Arial Narrow" w:hAnsi="Arial Narrow"/>
        </w:rPr>
        <w:t>especializantes</w:t>
      </w:r>
      <w:proofErr w:type="spellEnd"/>
      <w:r w:rsidRPr="0073708C">
        <w:rPr>
          <w:rFonts w:ascii="Arial Narrow" w:hAnsi="Arial Narrow"/>
        </w:rPr>
        <w:t xml:space="preserve"> con diseño flexible interdisciplinario, </w:t>
      </w:r>
      <w:r>
        <w:rPr>
          <w:rFonts w:ascii="Arial Narrow" w:hAnsi="Arial Narrow"/>
        </w:rPr>
        <w:t xml:space="preserve">y </w:t>
      </w:r>
      <w:r w:rsidRPr="0073708C">
        <w:rPr>
          <w:rFonts w:ascii="Arial Narrow" w:hAnsi="Arial Narrow"/>
        </w:rPr>
        <w:t>la posibilidad de registro de cursos en periodo de verano</w:t>
      </w:r>
      <w:r>
        <w:rPr>
          <w:rFonts w:ascii="Arial Narrow" w:hAnsi="Arial Narrow"/>
        </w:rPr>
        <w:t xml:space="preserve">. </w:t>
      </w:r>
    </w:p>
    <w:p w14:paraId="0BC38A17" w14:textId="77777777" w:rsidR="00E73730" w:rsidRPr="00FF06B1" w:rsidRDefault="00E73730" w:rsidP="00E73730">
      <w:pPr>
        <w:spacing w:after="0" w:line="240" w:lineRule="auto"/>
        <w:jc w:val="both"/>
        <w:rPr>
          <w:rFonts w:ascii="Arial Narrow" w:hAnsi="Arial Narrow"/>
        </w:rPr>
      </w:pPr>
      <w:r w:rsidRPr="00FF06B1">
        <w:rPr>
          <w:rFonts w:ascii="Arial Narrow" w:hAnsi="Arial Narrow" w:cs="Arial"/>
          <w:lang w:val="es-ES_tradnl"/>
        </w:rPr>
        <w:t xml:space="preserve">Además de las problemáticas mencionadas, se identifican otras como </w:t>
      </w:r>
      <w:r w:rsidRPr="00FF06B1">
        <w:rPr>
          <w:rFonts w:ascii="Arial Narrow" w:hAnsi="Arial Narrow"/>
        </w:rPr>
        <w:t>l</w:t>
      </w:r>
      <w:r w:rsidRPr="00FF06B1">
        <w:rPr>
          <w:rFonts w:ascii="Arial Narrow" w:hAnsi="Arial Narrow" w:cs="Museo Sans 500"/>
        </w:rPr>
        <w:t>a necesidad de integrar el uso del Moodle como una herramienta didáctica para unidades temáticas</w:t>
      </w:r>
      <w:r w:rsidRPr="00FF06B1">
        <w:rPr>
          <w:rFonts w:ascii="Arial Narrow" w:hAnsi="Arial Narrow"/>
        </w:rPr>
        <w:t xml:space="preserve">, además de </w:t>
      </w:r>
      <w:r w:rsidRPr="00FF06B1">
        <w:rPr>
          <w:rFonts w:ascii="Arial Narrow" w:hAnsi="Arial Narrow" w:cs="Arial"/>
          <w:lang w:val="es-ES_tradnl"/>
        </w:rPr>
        <w:t>la solución a que trámites administrativos pueden mermar el ánimo de los alumnos interesados en ejercer la flexibilidad curricular.</w:t>
      </w:r>
    </w:p>
    <w:p w14:paraId="67728B36" w14:textId="77777777" w:rsidR="00E73730" w:rsidRDefault="00E73730" w:rsidP="00E73730">
      <w:pPr>
        <w:spacing w:after="0" w:line="240" w:lineRule="auto"/>
        <w:jc w:val="both"/>
        <w:rPr>
          <w:rFonts w:ascii="Arial Narrow" w:hAnsi="Arial Narrow"/>
        </w:rPr>
      </w:pPr>
      <w:r>
        <w:rPr>
          <w:rFonts w:ascii="Arial Narrow" w:hAnsi="Arial Narrow"/>
        </w:rPr>
        <w:t xml:space="preserve">Lo anterior es resultado de un diagnóstico de los estudios de factibilidad realizados a principios de este año a los programas educativos del centro, una fortaleza para mantener el </w:t>
      </w:r>
      <w:r w:rsidRPr="00585011">
        <w:rPr>
          <w:rFonts w:ascii="Arial Narrow" w:hAnsi="Arial Narrow"/>
        </w:rPr>
        <w:t>interés primario en consolidar un carácter transigente y colaborativ</w:t>
      </w:r>
      <w:r>
        <w:rPr>
          <w:rFonts w:ascii="Arial Narrow" w:hAnsi="Arial Narrow"/>
        </w:rPr>
        <w:t>o con el perfil multitarea que demanda el siglo XXI a los jóvenes universitarios, así como subsanar oportunidades de mejora antes los comités evaluadores de calidad.</w:t>
      </w:r>
    </w:p>
    <w:p w14:paraId="305371BB" w14:textId="77777777" w:rsidR="00E73730" w:rsidRDefault="00E73730" w:rsidP="00E73730">
      <w:pPr>
        <w:spacing w:after="0" w:line="240" w:lineRule="auto"/>
        <w:jc w:val="both"/>
        <w:rPr>
          <w:rFonts w:ascii="Arial Narrow" w:hAnsi="Arial Narrow"/>
        </w:rPr>
      </w:pPr>
    </w:p>
    <w:p w14:paraId="5C2A2955" w14:textId="043452EC" w:rsidR="00E73730" w:rsidRPr="00E73730" w:rsidRDefault="00E73730" w:rsidP="00E73730">
      <w:pPr>
        <w:spacing w:after="0" w:line="240" w:lineRule="auto"/>
        <w:jc w:val="both"/>
        <w:rPr>
          <w:rFonts w:ascii="Arial Narrow" w:hAnsi="Arial Narrow" w:cs="Arial"/>
          <w:b/>
        </w:rPr>
      </w:pPr>
      <w:r>
        <w:rPr>
          <w:rFonts w:ascii="Arial Narrow" w:hAnsi="Arial Narrow" w:cs="Arial"/>
          <w:b/>
        </w:rPr>
        <w:t>3. Análisis de enseñanzas pertinentes y en contextos reales</w:t>
      </w:r>
    </w:p>
    <w:p w14:paraId="2FB23165" w14:textId="77777777" w:rsidR="00E73730" w:rsidRDefault="00E73730" w:rsidP="00E73730">
      <w:pPr>
        <w:jc w:val="both"/>
        <w:rPr>
          <w:rFonts w:ascii="Arial Narrow" w:hAnsi="Arial Narrow" w:cs="Tahoma"/>
        </w:rPr>
      </w:pPr>
      <w:r>
        <w:rPr>
          <w:rFonts w:ascii="Arial Narrow" w:hAnsi="Arial Narrow" w:cs="Tahoma"/>
        </w:rPr>
        <w:t xml:space="preserve">El Programa de Investigación Interdisciplinaria Point busca generar la discusión y las conexiones de carácter multidisciplinario entre los investigadores; </w:t>
      </w:r>
      <w:r>
        <w:rPr>
          <w:rFonts w:ascii="Arial Narrow" w:hAnsi="Arial Narrow" w:cstheme="minorHAnsi"/>
        </w:rPr>
        <w:t xml:space="preserve">dado que es de reciente creación, se busca que cuente con los recursos necesarios para el logro de sus objetivos. </w:t>
      </w:r>
    </w:p>
    <w:p w14:paraId="0406FDB3" w14:textId="621DB85F" w:rsidR="00E73730" w:rsidRPr="00E73730" w:rsidRDefault="00E73730" w:rsidP="00E73730">
      <w:pPr>
        <w:jc w:val="both"/>
        <w:rPr>
          <w:rFonts w:ascii="Arial Narrow" w:hAnsi="Arial Narrow" w:cs="Tahoma"/>
        </w:rPr>
      </w:pPr>
      <w:r>
        <w:rPr>
          <w:rFonts w:ascii="Arial Narrow" w:hAnsi="Arial Narrow" w:cs="Tahoma"/>
        </w:rPr>
        <w:t>En este tenor, una fortaleza a mantener son los apoyos a</w:t>
      </w:r>
      <w:r>
        <w:rPr>
          <w:rFonts w:ascii="Arial Narrow" w:hAnsi="Arial Narrow" w:cstheme="minorHAnsi"/>
        </w:rPr>
        <w:t xml:space="preserve"> proyectos que han implicado el trabajo de emprendimiento y labor social entre la comunidad estudiantil, como </w:t>
      </w:r>
      <w:proofErr w:type="spellStart"/>
      <w:r>
        <w:rPr>
          <w:rFonts w:ascii="Arial Narrow" w:hAnsi="Arial Narrow" w:cstheme="minorHAnsi"/>
        </w:rPr>
        <w:t>Biocut</w:t>
      </w:r>
      <w:proofErr w:type="spellEnd"/>
      <w:r>
        <w:rPr>
          <w:rFonts w:ascii="Arial Narrow" w:hAnsi="Arial Narrow" w:cstheme="minorHAnsi"/>
        </w:rPr>
        <w:t xml:space="preserve"> y </w:t>
      </w:r>
      <w:proofErr w:type="spellStart"/>
      <w:r>
        <w:rPr>
          <w:rFonts w:ascii="Arial Narrow" w:hAnsi="Arial Narrow" w:cstheme="minorHAnsi"/>
        </w:rPr>
        <w:t>Desali</w:t>
      </w:r>
      <w:proofErr w:type="spellEnd"/>
      <w:r>
        <w:rPr>
          <w:rFonts w:ascii="Arial Narrow" w:hAnsi="Arial Narrow" w:cstheme="minorHAnsi"/>
        </w:rPr>
        <w:t xml:space="preserve">. Estas iniciativas participantes en </w:t>
      </w:r>
      <w:proofErr w:type="spellStart"/>
      <w:r>
        <w:rPr>
          <w:rFonts w:ascii="Arial Narrow" w:hAnsi="Arial Narrow" w:cstheme="minorHAnsi"/>
        </w:rPr>
        <w:t>Enactus</w:t>
      </w:r>
      <w:proofErr w:type="spellEnd"/>
      <w:r>
        <w:rPr>
          <w:rFonts w:ascii="Arial Narrow" w:hAnsi="Arial Narrow" w:cstheme="minorHAnsi"/>
        </w:rPr>
        <w:t xml:space="preserve"> dan</w:t>
      </w:r>
      <w:r>
        <w:rPr>
          <w:rFonts w:ascii="Arial Narrow" w:hAnsi="Arial Narrow"/>
        </w:rPr>
        <w:t xml:space="preserve"> atención a problemáticas de carácter social y humanitario, lo que sin duda impulsa la interacción entre las áreas disciplinares del conocimiento del Centro Universitario de Tonalá. Por ejemplo, </w:t>
      </w:r>
      <w:r>
        <w:rPr>
          <w:rFonts w:ascii="Arial Narrow" w:hAnsi="Arial Narrow" w:cstheme="minorHAnsi"/>
        </w:rPr>
        <w:t>en cuanto a riqueza y mejores condiciones de vida para las personas, destacan los congresos realizados por gobiernos locales.</w:t>
      </w:r>
      <w:r>
        <w:rPr>
          <w:rFonts w:ascii="Arial Narrow" w:hAnsi="Arial Narrow"/>
        </w:rPr>
        <w:t xml:space="preserve"> </w:t>
      </w:r>
      <w:r>
        <w:rPr>
          <w:rFonts w:ascii="Arial Narrow" w:hAnsi="Arial Narrow" w:cs="Times"/>
        </w:rPr>
        <w:t xml:space="preserve">Si bien una fortaleza es que los temas de investigación de los cuerpos académicos se enfocan a temas de pertinencia regional y nacional, </w:t>
      </w:r>
      <w:r>
        <w:rPr>
          <w:rFonts w:ascii="Arial Narrow" w:hAnsi="Arial Narrow" w:cs="Times"/>
          <w:lang w:val="es-ES_tradnl"/>
        </w:rPr>
        <w:t>se identifica</w:t>
      </w:r>
      <w:r>
        <w:rPr>
          <w:rFonts w:ascii="Arial Narrow" w:hAnsi="Arial Narrow" w:cs="Arial"/>
          <w:lang w:val="es-ES_tradnl"/>
        </w:rPr>
        <w:t xml:space="preserve"> que el incremento de cuerpos académicos ha significado una búsqueda más profunda de fondos de investigación. En la Unidad de Tutorías se encuentra en marcha el proyecto de programación de los cursos a realizar de manera virtual, a partir de las preferencias que los docentes sugieran. Esta fortaleza repercute en un esquema curricular innovador y en el acompañamiento entre tutor y estudiante. En atención a la evaluación del aprendizaje, </w:t>
      </w:r>
      <w:r>
        <w:rPr>
          <w:rFonts w:ascii="Arial Narrow" w:hAnsi="Arial Narrow" w:cs="MuseoSans-500"/>
        </w:rPr>
        <w:t xml:space="preserve">programas educativos del centro solicitaron su participación en la 7° Convocatoria para la Incorporación de Programas Educativos al Padrón EGEL de </w:t>
      </w:r>
      <w:proofErr w:type="spellStart"/>
      <w:r>
        <w:rPr>
          <w:rFonts w:ascii="Arial Narrow" w:hAnsi="Arial Narrow" w:cs="MuseoSans-500"/>
        </w:rPr>
        <w:t>Ceneval</w:t>
      </w:r>
      <w:proofErr w:type="spellEnd"/>
      <w:r>
        <w:rPr>
          <w:rFonts w:ascii="Arial Narrow" w:hAnsi="Arial Narrow" w:cs="MuseoSans-500"/>
        </w:rPr>
        <w:t>, por lo que el apoyo al tema de evaluaciones terminales se pretende mantener como fortaleza.</w:t>
      </w:r>
      <w:r>
        <w:rPr>
          <w:rFonts w:ascii="Arial Narrow" w:hAnsi="Arial Narrow" w:cstheme="minorHAnsi"/>
        </w:rPr>
        <w:t xml:space="preserve"> </w:t>
      </w:r>
      <w:r>
        <w:rPr>
          <w:rFonts w:ascii="Arial Narrow" w:hAnsi="Arial Narrow" w:cs="Museo Sans"/>
          <w:color w:val="000000"/>
        </w:rPr>
        <w:t xml:space="preserve">Los diagnósticos realizados </w:t>
      </w:r>
      <w:r>
        <w:rPr>
          <w:rFonts w:ascii="Arial Narrow" w:hAnsi="Arial Narrow" w:cs="Museo Sans 500"/>
          <w:color w:val="000000"/>
        </w:rPr>
        <w:t xml:space="preserve">a egresados y empleadores han representado un aporte importante de insumos para el análisis de necesidades y demandas sociales y laborales, y el desarrollo de la disciplina en la región; sin embargo, </w:t>
      </w:r>
      <w:r>
        <w:rPr>
          <w:rFonts w:ascii="Arial Narrow" w:hAnsi="Arial Narrow" w:cs="Times"/>
          <w:lang w:val="es-ES_tradnl"/>
        </w:rPr>
        <w:t xml:space="preserve">se detecta como área de oportunidad la </w:t>
      </w:r>
      <w:r>
        <w:rPr>
          <w:rFonts w:ascii="Arial Narrow" w:hAnsi="Arial Narrow" w:cs="Times"/>
        </w:rPr>
        <w:t>relación entre unidades de aprendizaje y áreas de conocimiento para asegurar la pertinencia de la enseñanza</w:t>
      </w:r>
      <w:r>
        <w:rPr>
          <w:rFonts w:ascii="Arial Narrow" w:hAnsi="Arial Narrow" w:cs="Museo Sans 500"/>
          <w:color w:val="000000"/>
        </w:rPr>
        <w:t>. Se concluye además que en favor de la enseñanza en contextos reales, el equipamiento de laboratorios y talleres reforzará la simulación de experiencias que el estudiante tendrá durante su desempeño profesional.</w:t>
      </w:r>
    </w:p>
    <w:p w14:paraId="1B3F7892" w14:textId="77777777" w:rsidR="00E73730" w:rsidRDefault="00E73730" w:rsidP="00E73730">
      <w:pPr>
        <w:spacing w:after="0" w:line="240" w:lineRule="auto"/>
        <w:jc w:val="both"/>
        <w:rPr>
          <w:rFonts w:ascii="Arial Narrow" w:hAnsi="Arial Narrow"/>
          <w:i/>
          <w:u w:val="single"/>
        </w:rPr>
      </w:pPr>
    </w:p>
    <w:p w14:paraId="657C62ED" w14:textId="6F40334C" w:rsidR="00E73730" w:rsidRPr="00E73730" w:rsidRDefault="00E73730" w:rsidP="00E73730">
      <w:pPr>
        <w:spacing w:after="0" w:line="240" w:lineRule="auto"/>
        <w:jc w:val="both"/>
        <w:rPr>
          <w:rFonts w:ascii="Arial Narrow" w:hAnsi="Arial Narrow"/>
          <w:b/>
        </w:rPr>
      </w:pPr>
      <w:r>
        <w:rPr>
          <w:rFonts w:ascii="Arial Narrow" w:hAnsi="Arial Narrow" w:cs="Arial"/>
          <w:b/>
        </w:rPr>
        <w:lastRenderedPageBreak/>
        <w:t>4. Análisis del uso de las tecnologías de la información y comunicación</w:t>
      </w:r>
    </w:p>
    <w:p w14:paraId="6FEC19CD" w14:textId="77777777" w:rsidR="00E73730" w:rsidRDefault="00E73730" w:rsidP="00E73730">
      <w:pPr>
        <w:autoSpaceDE w:val="0"/>
        <w:autoSpaceDN w:val="0"/>
        <w:adjustRightInd w:val="0"/>
        <w:spacing w:after="0" w:line="240" w:lineRule="auto"/>
        <w:jc w:val="both"/>
        <w:rPr>
          <w:rFonts w:ascii="Arial Narrow" w:hAnsi="Arial Narrow"/>
        </w:rPr>
      </w:pPr>
      <w:r>
        <w:rPr>
          <w:rFonts w:ascii="Arial Narrow" w:hAnsi="Arial Narrow"/>
        </w:rPr>
        <w:t xml:space="preserve">Ante fortalezas como la identificación de las unidades de aprendizaje que pueden ser impartidas con apoyo de las tecnologías, se </w:t>
      </w:r>
      <w:proofErr w:type="gramStart"/>
      <w:r>
        <w:rPr>
          <w:rFonts w:ascii="Arial Narrow" w:hAnsi="Arial Narrow"/>
        </w:rPr>
        <w:t>identifican</w:t>
      </w:r>
      <w:proofErr w:type="gramEnd"/>
      <w:r>
        <w:rPr>
          <w:rFonts w:ascii="Arial Narrow" w:hAnsi="Arial Narrow"/>
        </w:rPr>
        <w:t xml:space="preserve"> áreas de oportunidad que han detenido la culminación de esta evolución del método de enseñanza y acompañamiento tutorial; por ejemplo, destaca la falta de utilización de sistemas de información para el proceso de tutorías. Se tienen identificadas también las habilidades informativas en las cuales es necesario capacitar a los estudiantes, en afán de mantener la integralidad de su formación.</w:t>
      </w:r>
    </w:p>
    <w:p w14:paraId="7BC3C6B5" w14:textId="3E35B3E1" w:rsidR="00E73730" w:rsidRPr="00E73730" w:rsidRDefault="00E73730" w:rsidP="00E73730">
      <w:pPr>
        <w:jc w:val="both"/>
        <w:rPr>
          <w:rFonts w:ascii="Arial Narrow" w:hAnsi="Arial Narrow"/>
        </w:rPr>
      </w:pPr>
      <w:r>
        <w:rPr>
          <w:rFonts w:ascii="Arial Narrow" w:hAnsi="Arial Narrow"/>
        </w:rPr>
        <w:t>Aunque la modalidad de todos los programas educativos del Centro Universitario de Tonalá es escolarizada, la comunidad académica se ha preocupado por comenzar la integración de contenidos en línea y ampliar la oferta de recursos para el aprendizaje, pues ninguna de las unidades de aprendizaje que apoyan su contenido en una plataforma virtual está construida ni dictaminada para su total impartición a distancia. Se busca subsanar el insuficiente equipamiento para la adecuada integración de las tecnologías en los procesos de enseñanza aprendizaje, así como las insuficientes licencias de software para el aprendizaje de idiomas. Se observan retos como la insuficiencia del ancho de banda del centro universitario contra la demanda de los usuarios.</w:t>
      </w:r>
    </w:p>
    <w:p w14:paraId="40E6333C" w14:textId="2D429AFA" w:rsidR="00E73730" w:rsidRPr="00E73730" w:rsidRDefault="00E73730" w:rsidP="00E73730">
      <w:pPr>
        <w:spacing w:after="0" w:line="240" w:lineRule="auto"/>
        <w:jc w:val="both"/>
        <w:rPr>
          <w:rFonts w:ascii="Arial Narrow" w:hAnsi="Arial Narrow"/>
          <w:b/>
          <w:lang w:val="es-ES_tradnl"/>
        </w:rPr>
      </w:pPr>
      <w:r w:rsidRPr="00E73730">
        <w:rPr>
          <w:rFonts w:ascii="Arial Narrow" w:hAnsi="Arial Narrow"/>
          <w:b/>
          <w:lang w:val="es-ES_tradnl"/>
        </w:rPr>
        <w:t>5.</w:t>
      </w:r>
      <w:r>
        <w:rPr>
          <w:rFonts w:ascii="Arial Narrow" w:hAnsi="Arial Narrow"/>
          <w:b/>
          <w:lang w:val="es-ES_tradnl"/>
        </w:rPr>
        <w:t xml:space="preserve"> Análisis de la internacionalización </w:t>
      </w:r>
    </w:p>
    <w:p w14:paraId="27436F4B" w14:textId="4F7802D1" w:rsidR="00E73730" w:rsidRDefault="00E73730" w:rsidP="00E73730">
      <w:pPr>
        <w:autoSpaceDE w:val="0"/>
        <w:autoSpaceDN w:val="0"/>
        <w:adjustRightInd w:val="0"/>
        <w:spacing w:after="0" w:line="240" w:lineRule="auto"/>
        <w:jc w:val="both"/>
        <w:rPr>
          <w:rFonts w:ascii="Arial Narrow" w:hAnsi="Arial Narrow"/>
        </w:rPr>
      </w:pPr>
      <w:r>
        <w:rPr>
          <w:rFonts w:ascii="Arial Narrow" w:hAnsi="Arial Narrow"/>
        </w:rPr>
        <w:t xml:space="preserve">El Centro Universitario de Tonalá ha establecido como meta la evaluación nacional de todos los programas educativos de pregrado que cumplen con las condiciones de certificación y acreditación, por lo que se abocó a este esfuerzo institucional durante el presente 2017 para pronto cumplir las condiciones para la evaluación internacional. </w:t>
      </w:r>
    </w:p>
    <w:p w14:paraId="6EA7BEA5" w14:textId="525CDC30" w:rsidR="00E73730" w:rsidRDefault="00E73730" w:rsidP="00E73730">
      <w:pPr>
        <w:autoSpaceDE w:val="0"/>
        <w:autoSpaceDN w:val="0"/>
        <w:adjustRightInd w:val="0"/>
        <w:spacing w:after="0" w:line="240" w:lineRule="auto"/>
        <w:jc w:val="both"/>
        <w:rPr>
          <w:rFonts w:ascii="Arial Narrow" w:hAnsi="Arial Narrow"/>
        </w:rPr>
      </w:pPr>
      <w:r>
        <w:rPr>
          <w:rFonts w:ascii="Arial Narrow" w:hAnsi="Arial Narrow"/>
        </w:rPr>
        <w:t>Como fortalezas sustantivas para el eje de internacionalización, se pretende fomentar y mantener la colaboración en materia de investigación a través de la divulgación d</w:t>
      </w:r>
      <w:r w:rsidRPr="00756688">
        <w:rPr>
          <w:rFonts w:ascii="Arial Narrow" w:hAnsi="Arial Narrow"/>
        </w:rPr>
        <w:t>el conocimiento generado por los docentes y estudiantes del Ce</w:t>
      </w:r>
      <w:r>
        <w:rPr>
          <w:rFonts w:ascii="Arial Narrow" w:hAnsi="Arial Narrow"/>
        </w:rPr>
        <w:t>ntro Universitario de Tonalá dentro de sus cuerpos académicos</w:t>
      </w:r>
      <w:r w:rsidRPr="00756688">
        <w:rPr>
          <w:rFonts w:ascii="Arial Narrow" w:hAnsi="Arial Narrow"/>
        </w:rPr>
        <w:t xml:space="preserve"> </w:t>
      </w:r>
      <w:r>
        <w:rPr>
          <w:rFonts w:ascii="Arial Narrow" w:hAnsi="Arial Narrow"/>
        </w:rPr>
        <w:t xml:space="preserve">y programas educativos. Ante esto, se busca integrar al pregrado a proyectos de investigación de carácter internacional de investigadores, así como fomentar el incremento de convenios de colaboración académica y prácticas profesionales, pues la oferta resulta escasa. Por el momento, </w:t>
      </w:r>
      <w:proofErr w:type="spellStart"/>
      <w:r>
        <w:rPr>
          <w:rFonts w:ascii="Arial Narrow" w:hAnsi="Arial Narrow" w:cs="Times New Roman"/>
        </w:rPr>
        <w:t>CUTonalá</w:t>
      </w:r>
      <w:proofErr w:type="spellEnd"/>
      <w:r>
        <w:rPr>
          <w:rFonts w:ascii="Arial Narrow" w:hAnsi="Arial Narrow" w:cs="Times New Roman"/>
        </w:rPr>
        <w:t xml:space="preserve"> solo tiene convenios de colaboración académica internacional: la carrera de Abogado con la St. </w:t>
      </w:r>
      <w:proofErr w:type="spellStart"/>
      <w:r>
        <w:rPr>
          <w:rFonts w:ascii="Arial Narrow" w:hAnsi="Arial Narrow" w:cs="Times New Roman"/>
        </w:rPr>
        <w:t>Mary’s</w:t>
      </w:r>
      <w:proofErr w:type="spellEnd"/>
      <w:r>
        <w:rPr>
          <w:rFonts w:ascii="Arial Narrow" w:hAnsi="Arial Narrow" w:cs="Times New Roman"/>
        </w:rPr>
        <w:t xml:space="preserve"> </w:t>
      </w:r>
      <w:proofErr w:type="spellStart"/>
      <w:r>
        <w:rPr>
          <w:rFonts w:ascii="Arial Narrow" w:hAnsi="Arial Narrow" w:cs="Times New Roman"/>
        </w:rPr>
        <w:t>University</w:t>
      </w:r>
      <w:proofErr w:type="spellEnd"/>
      <w:r>
        <w:rPr>
          <w:rFonts w:ascii="Arial Narrow" w:hAnsi="Arial Narrow" w:cs="Times New Roman"/>
        </w:rPr>
        <w:t xml:space="preserve"> </w:t>
      </w:r>
      <w:proofErr w:type="spellStart"/>
      <w:r>
        <w:rPr>
          <w:rFonts w:ascii="Arial Narrow" w:hAnsi="Arial Narrow" w:cs="Times New Roman"/>
        </w:rPr>
        <w:t>School</w:t>
      </w:r>
      <w:proofErr w:type="spellEnd"/>
      <w:r>
        <w:rPr>
          <w:rFonts w:ascii="Arial Narrow" w:hAnsi="Arial Narrow" w:cs="Times New Roman"/>
        </w:rPr>
        <w:t xml:space="preserve"> of </w:t>
      </w:r>
      <w:proofErr w:type="spellStart"/>
      <w:r>
        <w:rPr>
          <w:rFonts w:ascii="Arial Narrow" w:hAnsi="Arial Narrow" w:cs="Times New Roman"/>
        </w:rPr>
        <w:t>Law</w:t>
      </w:r>
      <w:proofErr w:type="spellEnd"/>
      <w:r>
        <w:rPr>
          <w:rFonts w:ascii="Arial Narrow" w:hAnsi="Arial Narrow" w:cs="Times New Roman"/>
        </w:rPr>
        <w:t xml:space="preserve"> de San Antonio, Texas, en Estados Unidos; y la licenciatura en Ing. en Nanotecnología con el Instituto Andaluz de Tecnología en España. A nivel nacional, los convenios recaen, si no en universidades, sí con el H. Ayuntamiento de Guadalajara, el Instituto de Movilidad del Estado de Jalisco y el Instituto Jalisciense de Ciencias Forenses, los cuales también resultan insuficientes. </w:t>
      </w:r>
      <w:r>
        <w:rPr>
          <w:rFonts w:ascii="Arial Narrow" w:hAnsi="Arial Narrow"/>
        </w:rPr>
        <w:t xml:space="preserve">La maestría en Ingeniería del Agua y la Energía de </w:t>
      </w:r>
      <w:proofErr w:type="spellStart"/>
      <w:r>
        <w:rPr>
          <w:rFonts w:ascii="Arial Narrow" w:hAnsi="Arial Narrow"/>
        </w:rPr>
        <w:t>CUTonalá</w:t>
      </w:r>
      <w:proofErr w:type="spellEnd"/>
      <w:r>
        <w:rPr>
          <w:rFonts w:ascii="Arial Narrow" w:hAnsi="Arial Narrow"/>
        </w:rPr>
        <w:t xml:space="preserve"> y el máster en Ciencia y Tecnología del Agua de la Universidad de Girona, España, tienen un convenio de doble titulación. Se resuelve que </w:t>
      </w:r>
      <w:r>
        <w:rPr>
          <w:rFonts w:ascii="Arial Narrow" w:eastAsia="Times New Roman" w:hAnsi="Arial Narrow"/>
          <w:color w:val="000000"/>
          <w:lang w:eastAsia="es-MX"/>
        </w:rPr>
        <w:t>la escasez de convenios para prácticas profesionales en el extranjero representa una debilidad tanto en materia de vinculación como de internacionalización.</w:t>
      </w:r>
    </w:p>
    <w:p w14:paraId="085AEB70" w14:textId="0CE899B1" w:rsidR="00E73730" w:rsidRDefault="00E73730" w:rsidP="00E73730">
      <w:pPr>
        <w:autoSpaceDE w:val="0"/>
        <w:autoSpaceDN w:val="0"/>
        <w:adjustRightInd w:val="0"/>
        <w:spacing w:after="0" w:line="240" w:lineRule="auto"/>
        <w:jc w:val="both"/>
        <w:rPr>
          <w:rFonts w:ascii="Arial Narrow" w:hAnsi="Arial Narrow"/>
        </w:rPr>
      </w:pPr>
      <w:r>
        <w:rPr>
          <w:rFonts w:ascii="Arial Narrow" w:hAnsi="Arial Narrow"/>
        </w:rPr>
        <w:t xml:space="preserve">Se encuentra como punto de mejora la escasa incorporación de ponentes internacionales a los eventos académicos que se han realizado en las instalaciones del centro, por lo que se extenderán más invitaciones para fomentar la discusión de temas de relevancia global en apego a las diversas disciplinas de </w:t>
      </w:r>
      <w:proofErr w:type="spellStart"/>
      <w:r>
        <w:rPr>
          <w:rFonts w:ascii="Arial Narrow" w:hAnsi="Arial Narrow"/>
        </w:rPr>
        <w:t>CUTonalá</w:t>
      </w:r>
      <w:proofErr w:type="spellEnd"/>
      <w:r>
        <w:rPr>
          <w:rFonts w:ascii="Arial Narrow" w:hAnsi="Arial Narrow"/>
        </w:rPr>
        <w:t xml:space="preserve">. </w:t>
      </w:r>
    </w:p>
    <w:p w14:paraId="575ADFB7" w14:textId="33D4FC87" w:rsidR="00E73730" w:rsidRPr="00E73730" w:rsidRDefault="00E73730" w:rsidP="00E73730">
      <w:pPr>
        <w:autoSpaceDE w:val="0"/>
        <w:autoSpaceDN w:val="0"/>
        <w:adjustRightInd w:val="0"/>
        <w:spacing w:after="0" w:line="240" w:lineRule="auto"/>
        <w:jc w:val="both"/>
        <w:rPr>
          <w:rFonts w:ascii="Arial Narrow" w:hAnsi="Arial Narrow"/>
        </w:rPr>
      </w:pPr>
      <w:r>
        <w:rPr>
          <w:rFonts w:ascii="Arial Narrow" w:hAnsi="Arial Narrow" w:cs="Times New Roman"/>
          <w:lang w:val="es-ES"/>
        </w:rPr>
        <w:t xml:space="preserve">Una fortaleza es el Centro Global de Idiomas (CGI) del Centro Universitario de Tonalá, que promueve la adquisición de hábitos </w:t>
      </w:r>
      <w:proofErr w:type="spellStart"/>
      <w:r>
        <w:rPr>
          <w:rFonts w:ascii="Arial Narrow" w:hAnsi="Arial Narrow" w:cs="Times New Roman"/>
          <w:lang w:val="es-ES"/>
        </w:rPr>
        <w:t>autogestivos</w:t>
      </w:r>
      <w:proofErr w:type="spellEnd"/>
      <w:r>
        <w:rPr>
          <w:rFonts w:ascii="Arial Narrow" w:hAnsi="Arial Narrow" w:cs="Times New Roman"/>
          <w:lang w:val="es-ES"/>
        </w:rPr>
        <w:t xml:space="preserve"> en el aprendizaje de idiomas y el desarrollo de competencias lingüísticas e interculturales mediante cursos, talleres y nuevas tecnologías, por lo que el apoyo para equipamiento en esta área representará una atmósfera de fácil acceso al dominio de los idiomas, y la acreditación de una segunda lengua se tendrá que considerar obligatoria para obtener el grado de licenciatura. </w:t>
      </w:r>
      <w:r>
        <w:rPr>
          <w:rFonts w:ascii="Arial Narrow" w:hAnsi="Arial Narrow"/>
        </w:rPr>
        <w:t>Casos de estudio, temas de apoyo e incluso presentaciones de clase ya han sido impartidas en inglés, lo que apoya la transición hacia la impartición total de unidades de aprendizaje en este idioma.</w:t>
      </w:r>
    </w:p>
    <w:p w14:paraId="54455994" w14:textId="77777777" w:rsidR="00E73730" w:rsidRDefault="00E73730" w:rsidP="00E73730">
      <w:pPr>
        <w:pStyle w:val="PrrafoPIFI"/>
        <w:ind w:firstLine="0"/>
        <w:rPr>
          <w:rFonts w:ascii="Arial Narrow" w:hAnsi="Arial Narrow" w:cs="Times New Roman"/>
          <w:lang w:val="es-ES"/>
        </w:rPr>
      </w:pPr>
      <w:r>
        <w:rPr>
          <w:rFonts w:ascii="Arial Narrow" w:hAnsi="Arial Narrow" w:cs="Times New Roman"/>
          <w:szCs w:val="22"/>
          <w:lang w:val="es-ES"/>
        </w:rPr>
        <w:t>Adicionalmente, se encuentra que la</w:t>
      </w:r>
      <w:r>
        <w:rPr>
          <w:rFonts w:ascii="Arial Narrow" w:hAnsi="Arial Narrow"/>
          <w:lang w:val="es-ES_tradnl"/>
        </w:rPr>
        <w:t xml:space="preserve"> cooperación e intercambio académico no han repercutido en la obtención de fondos de este orden, constituyendo un área de oportunidad para el incremento de las posibilidades</w:t>
      </w:r>
      <w:r>
        <w:rPr>
          <w:rFonts w:ascii="Arial Narrow" w:hAnsi="Arial Narrow" w:cs="Times New Roman"/>
          <w:lang w:val="es-ES"/>
        </w:rPr>
        <w:t>.</w:t>
      </w:r>
    </w:p>
    <w:p w14:paraId="2F15B634" w14:textId="534C5E93" w:rsidR="00E73730" w:rsidRPr="00E73730" w:rsidRDefault="00E73730" w:rsidP="00E73730">
      <w:pPr>
        <w:spacing w:after="0" w:line="240" w:lineRule="auto"/>
        <w:jc w:val="both"/>
        <w:rPr>
          <w:rFonts w:ascii="Arial Narrow" w:hAnsi="Arial Narrow"/>
          <w:b/>
        </w:rPr>
      </w:pPr>
      <w:proofErr w:type="gramStart"/>
      <w:r>
        <w:rPr>
          <w:rFonts w:ascii="Arial Narrow" w:hAnsi="Arial Narrow"/>
          <w:b/>
        </w:rPr>
        <w:t>6.Análisis</w:t>
      </w:r>
      <w:proofErr w:type="gramEnd"/>
      <w:r>
        <w:rPr>
          <w:rFonts w:ascii="Arial Narrow" w:hAnsi="Arial Narrow"/>
          <w:b/>
        </w:rPr>
        <w:t xml:space="preserve"> de la vinculación académica</w:t>
      </w:r>
    </w:p>
    <w:p w14:paraId="49C6A47D" w14:textId="1C0A542F" w:rsidR="00E73730" w:rsidRDefault="00E73730" w:rsidP="00E73730">
      <w:pPr>
        <w:spacing w:after="0" w:line="240" w:lineRule="auto"/>
        <w:jc w:val="both"/>
        <w:rPr>
          <w:rFonts w:ascii="Arial Narrow" w:hAnsi="Arial Narrow" w:cs="MuseoSans-500"/>
        </w:rPr>
      </w:pPr>
      <w:r>
        <w:rPr>
          <w:rFonts w:ascii="Arial Narrow" w:hAnsi="Arial Narrow" w:cs="Times New Roman"/>
        </w:rPr>
        <w:t xml:space="preserve">Se busca que el número de los convenios generales y específicos que ha celebrado el </w:t>
      </w:r>
      <w:proofErr w:type="spellStart"/>
      <w:r>
        <w:rPr>
          <w:rFonts w:ascii="Arial Narrow" w:hAnsi="Arial Narrow" w:cs="Times New Roman"/>
        </w:rPr>
        <w:t>CUTonalá</w:t>
      </w:r>
      <w:proofErr w:type="spellEnd"/>
      <w:r>
        <w:rPr>
          <w:rFonts w:ascii="Arial Narrow" w:hAnsi="Arial Narrow" w:cs="Times New Roman"/>
        </w:rPr>
        <w:t xml:space="preserve"> se incrementen con la</w:t>
      </w:r>
      <w:r>
        <w:rPr>
          <w:rFonts w:ascii="Arial Narrow" w:hAnsi="Arial Narrow" w:cs="Times New Roman"/>
          <w:lang w:val="es-ES"/>
        </w:rPr>
        <w:t xml:space="preserve"> participación de alumnos en estancias de investigación. Por ejemplo, el Verano Delfín del </w:t>
      </w:r>
      <w:proofErr w:type="spellStart"/>
      <w:r>
        <w:rPr>
          <w:rFonts w:ascii="Arial Narrow" w:hAnsi="Arial Narrow" w:cs="Times New Roman"/>
          <w:lang w:val="es-ES"/>
        </w:rPr>
        <w:t>Conacyt</w:t>
      </w:r>
      <w:proofErr w:type="spellEnd"/>
      <w:r>
        <w:rPr>
          <w:rFonts w:ascii="Arial Narrow" w:hAnsi="Arial Narrow" w:cs="Times New Roman"/>
          <w:lang w:val="es-ES"/>
        </w:rPr>
        <w:t xml:space="preserve"> promueve la movilidad estudiantil mediante estancias académicas de investigación, y significa la presencia multidisciplinaria de </w:t>
      </w:r>
      <w:proofErr w:type="spellStart"/>
      <w:r>
        <w:rPr>
          <w:rFonts w:ascii="Arial Narrow" w:hAnsi="Arial Narrow" w:cs="Times New Roman"/>
          <w:lang w:val="es-ES"/>
        </w:rPr>
        <w:t>CUTonalá</w:t>
      </w:r>
      <w:proofErr w:type="spellEnd"/>
      <w:r>
        <w:rPr>
          <w:rFonts w:ascii="Arial Narrow" w:hAnsi="Arial Narrow" w:cs="Times New Roman"/>
          <w:lang w:val="es-ES"/>
        </w:rPr>
        <w:t xml:space="preserve"> en centros de investigación, universidades, e instituciones nacionales y del extranjero. </w:t>
      </w:r>
      <w:r>
        <w:rPr>
          <w:rFonts w:ascii="Arial Narrow" w:hAnsi="Arial Narrow"/>
          <w:lang w:val="es-ES"/>
        </w:rPr>
        <w:t xml:space="preserve">Frente a esta fortaleza se observa que no hay convenios de transferencia tecnológica ni programas de aceleración e incubación en el Centro Universitario, por lo que </w:t>
      </w:r>
      <w:r>
        <w:rPr>
          <w:rFonts w:ascii="Arial Narrow" w:hAnsi="Arial Narrow"/>
        </w:rPr>
        <w:t xml:space="preserve">la puesta en marcha en 2018 del proyecto </w:t>
      </w:r>
      <w:r>
        <w:rPr>
          <w:rFonts w:ascii="Arial Narrow" w:hAnsi="Arial Narrow" w:cs="MuseoSans-500"/>
        </w:rPr>
        <w:t xml:space="preserve">del Centro Regional para la Calidad Empresarial </w:t>
      </w:r>
      <w:r>
        <w:rPr>
          <w:rFonts w:ascii="Arial Narrow" w:hAnsi="Arial Narrow"/>
        </w:rPr>
        <w:t xml:space="preserve">Crece Tonalá representa </w:t>
      </w:r>
      <w:r>
        <w:rPr>
          <w:rFonts w:ascii="Arial Narrow" w:hAnsi="Arial Narrow" w:cs="MuseoSans-500"/>
        </w:rPr>
        <w:t xml:space="preserve">un motor enriquecedor entre sociedad, universidad y empresa, modelo conocido como Triple Hélice. Su misión es consolidarse como un centro de impulso y difusión de la innovación y emprendimiento </w:t>
      </w:r>
      <w:r>
        <w:rPr>
          <w:rFonts w:ascii="Arial Narrow" w:hAnsi="Arial Narrow"/>
        </w:rPr>
        <w:t>sustentable. Implica la</w:t>
      </w:r>
      <w:r>
        <w:rPr>
          <w:rFonts w:ascii="Arial Narrow" w:hAnsi="Arial Narrow" w:cs="MuseoSans-500"/>
        </w:rPr>
        <w:t xml:space="preserve"> construcción de un edificio que albergue la operación emprendedora, de incubación, y transferencia de conocimiento y tecnología desarrollada en </w:t>
      </w:r>
      <w:proofErr w:type="spellStart"/>
      <w:r>
        <w:rPr>
          <w:rFonts w:ascii="Arial Narrow" w:hAnsi="Arial Narrow" w:cs="MuseoSans-500"/>
        </w:rPr>
        <w:t>CUTonalá</w:t>
      </w:r>
      <w:proofErr w:type="spellEnd"/>
      <w:r>
        <w:rPr>
          <w:rFonts w:ascii="Arial Narrow" w:hAnsi="Arial Narrow" w:cs="MuseoSans-500"/>
        </w:rPr>
        <w:t xml:space="preserve">. </w:t>
      </w:r>
    </w:p>
    <w:p w14:paraId="13D563A7" w14:textId="58CBC325" w:rsidR="00E73730" w:rsidRDefault="00E73730" w:rsidP="00E73730">
      <w:pPr>
        <w:spacing w:after="0" w:line="240" w:lineRule="auto"/>
        <w:jc w:val="both"/>
        <w:rPr>
          <w:rFonts w:ascii="Arial Narrow" w:hAnsi="Arial Narrow" w:cs="MuseoSans-500"/>
        </w:rPr>
      </w:pPr>
      <w:r>
        <w:rPr>
          <w:rFonts w:ascii="Arial Narrow" w:hAnsi="Arial Narrow" w:cs="MuseoSans-500"/>
        </w:rPr>
        <w:lastRenderedPageBreak/>
        <w:t xml:space="preserve">Una fortaleza que se pretende mantener es el desarrollo de habilidades y competencias profesionales mediante la vinculación con el sector productivo, por ejemplo, y en cuanto a visitas y estancias en empresa, </w:t>
      </w:r>
      <w:r>
        <w:rPr>
          <w:rFonts w:ascii="Arial Narrow" w:hAnsi="Arial Narrow" w:cs="Museo Sans"/>
          <w:color w:val="000000"/>
        </w:rPr>
        <w:t>la licenciatura en Diseño de Artesanía ha participado en el Programa Piloto de Licenciaturas Duales promovido desde la CIEP.</w:t>
      </w:r>
      <w:r>
        <w:rPr>
          <w:rFonts w:ascii="Arial Narrow" w:hAnsi="Arial Narrow" w:cs="MuseoSans-500"/>
        </w:rPr>
        <w:t xml:space="preserve"> En tema de salud, la realización de trabajo de campo y ferias de la salud representan acciones favorecedoras. Se está gestionando la reactivación del despacho legal conformado por prestadores de servicio social y practicantes profesionales, así como la puesta en marcha de un despacho contable de práctica profesional para los alumnos de Contaduría. Esto podría fomentar que los PE subsanen el que no se concrete la realización de las prácticas profesionales de manera obligatoria desde la </w:t>
      </w:r>
      <w:proofErr w:type="spellStart"/>
      <w:r>
        <w:rPr>
          <w:rFonts w:ascii="Arial Narrow" w:hAnsi="Arial Narrow" w:cs="MuseoSans-500"/>
        </w:rPr>
        <w:t>currícula</w:t>
      </w:r>
      <w:proofErr w:type="spellEnd"/>
      <w:r>
        <w:rPr>
          <w:rFonts w:ascii="Arial Narrow" w:hAnsi="Arial Narrow" w:cs="MuseoSans-500"/>
        </w:rPr>
        <w:t>, ya que esto representa una debilidad. Como valor relacionado, la disposición de equipamiento en laboratorios y talleres reforzará las habilidades y competencias profesionales que los estudiantes necesitan para mejorar su perfil ante el campo laboral.</w:t>
      </w:r>
    </w:p>
    <w:p w14:paraId="7C5CB27D" w14:textId="77777777" w:rsidR="00E73730" w:rsidRDefault="00E73730" w:rsidP="00E73730">
      <w:pPr>
        <w:spacing w:after="0" w:line="240" w:lineRule="auto"/>
        <w:jc w:val="both"/>
        <w:rPr>
          <w:rFonts w:ascii="Arial Narrow" w:hAnsi="Arial Narrow"/>
          <w:i/>
          <w:u w:val="single"/>
        </w:rPr>
      </w:pPr>
      <w:r>
        <w:rPr>
          <w:rFonts w:ascii="Arial Narrow" w:hAnsi="Arial Narrow" w:cs="Times New Roman"/>
          <w:lang w:val="es-ES"/>
        </w:rPr>
        <w:t>Se mantienen como retos: la búsqueda de más recursos para la movilidad en relación con el establecimiento de redes de investigación para los cuerpos académicos, pues sus investigaciones promueven la participación de estudiantes de pregrado y de posgrado; y la búsqueda de convenios internacionales</w:t>
      </w:r>
      <w:r>
        <w:rPr>
          <w:rFonts w:ascii="Arial Narrow" w:hAnsi="Arial Narrow"/>
          <w:lang w:val="es-ES"/>
        </w:rPr>
        <w:t xml:space="preserve"> </w:t>
      </w:r>
      <w:r>
        <w:rPr>
          <w:rFonts w:ascii="Arial Narrow" w:hAnsi="Arial Narrow"/>
        </w:rPr>
        <w:t>para las prácticas profesionales.</w:t>
      </w:r>
    </w:p>
    <w:p w14:paraId="61C6FDBB" w14:textId="77777777" w:rsidR="00E73730" w:rsidRDefault="00E73730" w:rsidP="00E73730">
      <w:pPr>
        <w:spacing w:after="0" w:line="240" w:lineRule="auto"/>
        <w:jc w:val="both"/>
        <w:rPr>
          <w:rFonts w:ascii="Arial Narrow" w:hAnsi="Arial Narrow"/>
          <w:i/>
          <w:u w:val="single"/>
        </w:rPr>
      </w:pPr>
    </w:p>
    <w:p w14:paraId="0DF265F6" w14:textId="2A00D703" w:rsidR="00E73730" w:rsidRDefault="00E73730" w:rsidP="00E73730">
      <w:pPr>
        <w:spacing w:after="0" w:line="240" w:lineRule="auto"/>
        <w:jc w:val="both"/>
        <w:rPr>
          <w:rFonts w:ascii="Arial Narrow" w:hAnsi="Arial Narrow"/>
          <w:b/>
        </w:rPr>
      </w:pPr>
      <w:r w:rsidRPr="00E73730">
        <w:rPr>
          <w:rFonts w:ascii="Arial Narrow" w:hAnsi="Arial Narrow"/>
          <w:b/>
        </w:rPr>
        <w:t xml:space="preserve">7. </w:t>
      </w:r>
      <w:r>
        <w:rPr>
          <w:rFonts w:ascii="Arial Narrow" w:hAnsi="Arial Narrow"/>
          <w:b/>
        </w:rPr>
        <w:t xml:space="preserve">Análisis de la capacidad y competitividad académica </w:t>
      </w:r>
    </w:p>
    <w:p w14:paraId="7AE15E11" w14:textId="18301E94" w:rsidR="00E73730" w:rsidRPr="00E73730" w:rsidRDefault="00E73730" w:rsidP="00E73730">
      <w:pPr>
        <w:spacing w:after="0" w:line="240" w:lineRule="auto"/>
        <w:jc w:val="both"/>
        <w:rPr>
          <w:rFonts w:ascii="Arial Narrow" w:hAnsi="Arial Narrow"/>
          <w:b/>
        </w:rPr>
      </w:pPr>
      <w:r w:rsidRPr="00E73730">
        <w:rPr>
          <w:rFonts w:ascii="Arial Narrow" w:hAnsi="Arial Narrow"/>
          <w:b/>
        </w:rPr>
        <w:t xml:space="preserve">Capacidad académica </w:t>
      </w:r>
    </w:p>
    <w:p w14:paraId="6ECF4921" w14:textId="0C5B4502" w:rsidR="00E73730" w:rsidRDefault="00E73730" w:rsidP="00E73730">
      <w:pPr>
        <w:spacing w:after="0" w:line="240" w:lineRule="auto"/>
        <w:jc w:val="both"/>
        <w:rPr>
          <w:rFonts w:ascii="Arial Narrow" w:hAnsi="Arial Narrow"/>
        </w:rPr>
      </w:pPr>
      <w:r>
        <w:rPr>
          <w:rFonts w:ascii="Arial Narrow" w:hAnsi="Arial Narrow" w:cs="MuseoSans-500"/>
        </w:rPr>
        <w:t xml:space="preserve">Con 571 profesores, de los cuales 146 son profesores de tiempo completo (PTC) y 56 son profesores de tiempo completo con perfil deseable, </w:t>
      </w:r>
      <w:proofErr w:type="spellStart"/>
      <w:r>
        <w:rPr>
          <w:rFonts w:ascii="Arial Narrow" w:hAnsi="Arial Narrow" w:cs="MuseoSans-500"/>
        </w:rPr>
        <w:t>CUTonalá</w:t>
      </w:r>
      <w:proofErr w:type="spellEnd"/>
      <w:r>
        <w:rPr>
          <w:rFonts w:ascii="Arial Narrow" w:hAnsi="Arial Narrow" w:cs="MuseoSans-500"/>
        </w:rPr>
        <w:t xml:space="preserve"> avanza 61.8% respecto a su estadística. Los problemas detectados frenan el crecimiento acelerado en la capacidad docente, como la insuficiencia de espacios y equipo que se destinen para la investigación. </w:t>
      </w:r>
      <w:r>
        <w:rPr>
          <w:rFonts w:ascii="Arial Narrow" w:hAnsi="Arial Narrow"/>
        </w:rPr>
        <w:t xml:space="preserve">Los cuerpos académicos identifican como fortalezas el grado académico de los integrantes (67% cuenta con nivel doctorado, perfil </w:t>
      </w:r>
      <w:proofErr w:type="spellStart"/>
      <w:r>
        <w:rPr>
          <w:rFonts w:ascii="Arial Narrow" w:hAnsi="Arial Narrow"/>
        </w:rPr>
        <w:t>Promep</w:t>
      </w:r>
      <w:proofErr w:type="spellEnd"/>
      <w:r>
        <w:rPr>
          <w:rFonts w:ascii="Arial Narrow" w:hAnsi="Arial Narrow"/>
        </w:rPr>
        <w:t>, y cerca del 50% se encuentran adscritos al SNI) y la inclusión de alumnos en investigaciones como prestadores de servicio social; además, se cuenta ya con 20 en fase de formación. Como debilidad se encontró la falta de espacios adecuados para el trabajo colegiado e investigación. Se pretende que las ponencias y publicaciones de los docentes y potenciales investigadores nacionales se mantengan en constante apoyo.</w:t>
      </w:r>
    </w:p>
    <w:p w14:paraId="21356CED" w14:textId="77777777" w:rsidR="00E73730" w:rsidRDefault="00E73730" w:rsidP="00E73730">
      <w:pPr>
        <w:spacing w:after="0" w:line="240" w:lineRule="auto"/>
        <w:jc w:val="both"/>
        <w:rPr>
          <w:rFonts w:ascii="Arial Narrow" w:hAnsi="Arial Narrow"/>
        </w:rPr>
      </w:pPr>
      <w:r>
        <w:rPr>
          <w:rFonts w:ascii="Arial Narrow" w:hAnsi="Arial Narrow"/>
        </w:rPr>
        <w:t xml:space="preserve">Se concluye que es necesario mantener </w:t>
      </w:r>
      <w:r w:rsidRPr="001E335B">
        <w:rPr>
          <w:rFonts w:ascii="Arial Narrow" w:hAnsi="Arial Narrow"/>
        </w:rPr>
        <w:t>apoyos para convocatori</w:t>
      </w:r>
      <w:r>
        <w:rPr>
          <w:rFonts w:ascii="Arial Narrow" w:hAnsi="Arial Narrow"/>
        </w:rPr>
        <w:t>as y proyectos de investigación,  seguir incrementando el número de profesores de tiempo completo con posgrado para mantener en creciente competitividad el perfil de la planta académica, y la búsqueda de la pertinencia de contenidos y medios en los cursos para docentes que impacte en la calidad y competitividad de los programas y sus estudiantes.</w:t>
      </w:r>
    </w:p>
    <w:p w14:paraId="636FBF8F" w14:textId="6C9E929D" w:rsidR="00E73730" w:rsidRPr="00E73730" w:rsidRDefault="00E73730" w:rsidP="00E73730">
      <w:pPr>
        <w:pStyle w:val="Prrafodelista"/>
        <w:spacing w:after="0" w:line="240" w:lineRule="auto"/>
        <w:ind w:left="0"/>
        <w:jc w:val="both"/>
        <w:rPr>
          <w:rFonts w:ascii="Arial Narrow" w:hAnsi="Arial Narrow"/>
          <w:b/>
        </w:rPr>
      </w:pPr>
      <w:r>
        <w:rPr>
          <w:rFonts w:ascii="Arial Narrow" w:hAnsi="Arial Narrow"/>
          <w:b/>
        </w:rPr>
        <w:t xml:space="preserve">Competitividad académica </w:t>
      </w:r>
    </w:p>
    <w:p w14:paraId="5114B38E" w14:textId="77777777" w:rsidR="00E73730" w:rsidRDefault="00E73730" w:rsidP="00E73730">
      <w:pPr>
        <w:spacing w:after="0" w:line="240" w:lineRule="auto"/>
        <w:jc w:val="both"/>
        <w:rPr>
          <w:rFonts w:ascii="Arial Narrow" w:eastAsia="Times New Roman" w:hAnsi="Arial Narrow" w:cs="Arial"/>
          <w:color w:val="000000"/>
          <w:lang w:eastAsia="es-MX"/>
        </w:rPr>
      </w:pPr>
      <w:r>
        <w:rPr>
          <w:rFonts w:ascii="Arial Narrow" w:hAnsi="Arial Narrow" w:cs="MuseoSans-500"/>
        </w:rPr>
        <w:t xml:space="preserve">Se observa un incremento de más del 221% con respecto a la matrícula 2012-2013 y un incremento del 11% con relación al periodo 2015-2016, </w:t>
      </w:r>
      <w:r w:rsidRPr="000C32E5">
        <w:rPr>
          <w:rFonts w:ascii="Arial Narrow" w:hAnsi="Arial Narrow" w:cs="MuseoSans-500"/>
        </w:rPr>
        <w:t xml:space="preserve">lo que </w:t>
      </w:r>
      <w:r w:rsidRPr="000C32E5">
        <w:rPr>
          <w:rFonts w:ascii="Arial Narrow" w:hAnsi="Arial Narrow"/>
        </w:rPr>
        <w:t xml:space="preserve">ha repercutido favorablemente en acelerar el </w:t>
      </w:r>
      <w:r w:rsidRPr="000C32E5">
        <w:rPr>
          <w:rFonts w:ascii="Arial Narrow" w:eastAsia="Times New Roman" w:hAnsi="Arial Narrow" w:cs="Arial"/>
          <w:color w:val="000000"/>
          <w:lang w:eastAsia="es-MX"/>
        </w:rPr>
        <w:t>crecimiento de la infraestructura física.</w:t>
      </w:r>
      <w:r>
        <w:rPr>
          <w:rFonts w:ascii="Arial Narrow" w:eastAsia="Times New Roman" w:hAnsi="Arial Narrow" w:cs="Arial"/>
          <w:color w:val="000000"/>
          <w:lang w:eastAsia="es-MX"/>
        </w:rPr>
        <w:t xml:space="preserve"> A pesar de lo anterior, dicho crecimiento aún resulta insuficiente para la cantidad de alumnos, al igual que el equipamiento necesario para atender los espacios para la práctica y la docencia, como laboratorios y talleres de las diversas áreas disciplinares; ambientes cuyo equipamiento se pretende reforzar, o bien, en el caso de los de nueva creación, adecuar para el inicio de las prácticas.</w:t>
      </w:r>
    </w:p>
    <w:p w14:paraId="060A2CB0" w14:textId="77777777" w:rsidR="00E73730" w:rsidRDefault="00E73730" w:rsidP="00E73730">
      <w:pPr>
        <w:spacing w:after="0" w:line="240" w:lineRule="auto"/>
        <w:jc w:val="both"/>
        <w:rPr>
          <w:rFonts w:ascii="Arial Narrow" w:eastAsia="Times New Roman" w:hAnsi="Arial Narrow" w:cs="Arial"/>
          <w:color w:val="000000"/>
          <w:lang w:eastAsia="es-MX"/>
        </w:rPr>
      </w:pPr>
      <w:r>
        <w:rPr>
          <w:rFonts w:ascii="Arial Narrow" w:eastAsia="Times New Roman" w:hAnsi="Arial Narrow" w:cs="Calibri"/>
          <w:color w:val="000000"/>
        </w:rPr>
        <w:t>Mantener en ascenso el número de testimonios satisfactorios y sobresalientes</w:t>
      </w:r>
      <w:r>
        <w:rPr>
          <w:rFonts w:ascii="Arial Narrow" w:hAnsi="Arial Narrow"/>
        </w:rPr>
        <w:t xml:space="preserve"> en el EGEL es una fortaleza a mantener, ya que destaca el incremento de estudiantes que aplican en pruebas de este orden. </w:t>
      </w:r>
      <w:r w:rsidRPr="009D59AC">
        <w:rPr>
          <w:rFonts w:ascii="Arial Narrow" w:hAnsi="Arial Narrow" w:cs="MuseoSans-500"/>
        </w:rPr>
        <w:t xml:space="preserve">Frente a la debilidad que representa que </w:t>
      </w:r>
      <w:r>
        <w:rPr>
          <w:rFonts w:ascii="Arial Narrow" w:hAnsi="Arial Narrow" w:cs="MuseoSans-500"/>
        </w:rPr>
        <w:t>no exista</w:t>
      </w:r>
      <w:r w:rsidRPr="009D59AC">
        <w:rPr>
          <w:rFonts w:ascii="Arial Narrow" w:hAnsi="Arial Narrow" w:cs="MuseoSans-500"/>
        </w:rPr>
        <w:t xml:space="preserve">n programas educativos en el Padrón de Alto Rendimiento </w:t>
      </w:r>
      <w:proofErr w:type="spellStart"/>
      <w:r w:rsidRPr="009D59AC">
        <w:rPr>
          <w:rFonts w:ascii="Arial Narrow" w:hAnsi="Arial Narrow" w:cs="MuseoSans-500"/>
        </w:rPr>
        <w:t>Ceneval</w:t>
      </w:r>
      <w:proofErr w:type="spellEnd"/>
      <w:r w:rsidRPr="009D59AC">
        <w:rPr>
          <w:rFonts w:ascii="Arial Narrow" w:hAnsi="Arial Narrow" w:cs="MuseoSans-500"/>
        </w:rPr>
        <w:t>, se</w:t>
      </w:r>
      <w:r>
        <w:rPr>
          <w:rFonts w:ascii="Arial Narrow" w:hAnsi="Arial Narrow"/>
        </w:rPr>
        <w:t xml:space="preserve"> buscará implementar guías de estudio para incrementar el desempeño, que para 2017 representa un total de 120 testimonios satisfactorios y sobresalientes. </w:t>
      </w:r>
    </w:p>
    <w:p w14:paraId="58AD71C8" w14:textId="77777777" w:rsidR="00E73730" w:rsidRDefault="00E73730" w:rsidP="00E73730">
      <w:pPr>
        <w:spacing w:after="0" w:line="240" w:lineRule="auto"/>
        <w:jc w:val="both"/>
        <w:rPr>
          <w:rFonts w:ascii="Arial Narrow" w:hAnsi="Arial Narrow"/>
          <w:i/>
          <w:u w:val="single"/>
        </w:rPr>
      </w:pPr>
      <w:r>
        <w:rPr>
          <w:rFonts w:ascii="Arial Narrow" w:hAnsi="Arial Narrow" w:cs="MuseoSans-500"/>
        </w:rPr>
        <w:t xml:space="preserve">Se concluye que, a pesar de contar con un alto número de egresados, en las ingenierías en Ciencias Computacionales y Nanotecnología, así como la licenciatura en Salud Pública, el desempeño de titulación es destacablemente bajo. Dentro de los planes de trabajo de las licenciaturas aparecen recursos para incrementar este indicador. </w:t>
      </w:r>
      <w:r>
        <w:rPr>
          <w:rFonts w:ascii="Arial Narrow" w:hAnsi="Arial Narrow"/>
        </w:rPr>
        <w:t>Se mantiene como compromiso incrementar el número de egresados para poder mantener niveles evaluables y una eficiencia de titulación positiva.</w:t>
      </w:r>
    </w:p>
    <w:p w14:paraId="5509A80B" w14:textId="77777777" w:rsidR="00E73730" w:rsidRDefault="00E73730" w:rsidP="00E73730">
      <w:pPr>
        <w:spacing w:after="0" w:line="240" w:lineRule="auto"/>
        <w:jc w:val="both"/>
        <w:rPr>
          <w:rFonts w:ascii="Arial Narrow" w:hAnsi="Arial Narrow"/>
        </w:rPr>
      </w:pPr>
      <w:r>
        <w:rPr>
          <w:rFonts w:ascii="Arial Narrow" w:hAnsi="Arial Narrow"/>
        </w:rPr>
        <w:t xml:space="preserve">Como gran fortaleza, destaca que en 2017, y a pesar de la reciente creación del Centro Universitario, 11 de 13 programas educativos trabajan en el llenado de los instrumentos de evaluación por organismos externos, lo que permite </w:t>
      </w:r>
      <w:r w:rsidRPr="009D4F8E">
        <w:rPr>
          <w:rFonts w:ascii="Arial Narrow" w:hAnsi="Arial Narrow"/>
        </w:rPr>
        <w:t>explorar su contexto</w:t>
      </w:r>
      <w:r>
        <w:rPr>
          <w:rFonts w:ascii="Arial Narrow" w:hAnsi="Arial Narrow"/>
        </w:rPr>
        <w:t xml:space="preserve"> y</w:t>
      </w:r>
      <w:r w:rsidRPr="009D4F8E">
        <w:rPr>
          <w:rFonts w:ascii="Arial Narrow" w:hAnsi="Arial Narrow"/>
        </w:rPr>
        <w:t xml:space="preserve"> pertinencia en la región.</w:t>
      </w:r>
      <w:r>
        <w:rPr>
          <w:rFonts w:ascii="Arial Narrow" w:hAnsi="Arial Narrow"/>
        </w:rPr>
        <w:t xml:space="preserve"> Se toman en cuenta los programas en la Red de Médico, Cirujano y Partero, y Abogado, reconocidos como Programas Académicos de Primer Nivel evaluados por el programa de Generación de Recursos para la Acreditación en las Naciones de América (GRANA). </w:t>
      </w:r>
    </w:p>
    <w:p w14:paraId="54D3A3CF" w14:textId="77777777" w:rsidR="00E73730" w:rsidRDefault="00E73730" w:rsidP="00E73730">
      <w:pPr>
        <w:spacing w:after="0" w:line="240" w:lineRule="auto"/>
        <w:jc w:val="both"/>
        <w:rPr>
          <w:rFonts w:ascii="Arial Narrow" w:hAnsi="Arial Narrow"/>
        </w:rPr>
      </w:pPr>
      <w:r>
        <w:rPr>
          <w:rFonts w:ascii="Arial Narrow" w:hAnsi="Arial Narrow"/>
        </w:rPr>
        <w:t>Una fortaleza es la exploración del contexto y la pertinencia en la región para certificaciones disciplinares, por lo que se busca con este proyecto apoyar este tipo de acciones.</w:t>
      </w:r>
    </w:p>
    <w:p w14:paraId="56401CEE" w14:textId="77777777" w:rsidR="00E73730" w:rsidRDefault="00E73730" w:rsidP="00E73730">
      <w:pPr>
        <w:spacing w:after="0" w:line="240" w:lineRule="auto"/>
        <w:jc w:val="both"/>
        <w:rPr>
          <w:rFonts w:ascii="Arial Narrow" w:hAnsi="Arial Narrow"/>
        </w:rPr>
      </w:pPr>
    </w:p>
    <w:p w14:paraId="68504C86" w14:textId="08CA6D32" w:rsidR="00E73730" w:rsidRPr="00E73730" w:rsidRDefault="00E73730" w:rsidP="00E73730">
      <w:pPr>
        <w:spacing w:after="0" w:line="240" w:lineRule="auto"/>
        <w:jc w:val="both"/>
        <w:rPr>
          <w:rFonts w:ascii="Arial Narrow" w:hAnsi="Arial Narrow"/>
          <w:b/>
        </w:rPr>
      </w:pPr>
      <w:r w:rsidRPr="00E73730">
        <w:rPr>
          <w:rFonts w:ascii="Arial Narrow" w:hAnsi="Arial Narrow"/>
          <w:b/>
        </w:rPr>
        <w:t>8.</w:t>
      </w:r>
      <w:r w:rsidRPr="00E73730">
        <w:rPr>
          <w:rFonts w:ascii="Arial Narrow" w:hAnsi="Arial Narrow"/>
        </w:rPr>
        <w:t xml:space="preserve"> </w:t>
      </w:r>
      <w:r>
        <w:rPr>
          <w:rFonts w:ascii="Arial Narrow" w:hAnsi="Arial Narrow"/>
          <w:b/>
        </w:rPr>
        <w:t>Análisis de la formación integral del estudiante</w:t>
      </w:r>
    </w:p>
    <w:p w14:paraId="3EB2298C" w14:textId="780C3E99" w:rsidR="00E73730" w:rsidRPr="00E73730" w:rsidRDefault="00E73730" w:rsidP="00E73730">
      <w:pPr>
        <w:spacing w:after="0" w:line="240" w:lineRule="auto"/>
        <w:jc w:val="both"/>
        <w:rPr>
          <w:rFonts w:ascii="Arial Narrow" w:hAnsi="Arial Narrow"/>
          <w:i/>
          <w:u w:val="single"/>
          <w:lang w:val="es-ES_tradnl"/>
        </w:rPr>
      </w:pPr>
      <w:r w:rsidRPr="00712C33">
        <w:rPr>
          <w:rFonts w:ascii="Arial Narrow" w:hAnsi="Arial Narrow"/>
        </w:rPr>
        <w:t xml:space="preserve">Se ha identificado como área de oportunidad la necesidad de espacios adecuados para la realización de tutorías con presencia de tecnologías para que el acompañamiento cuente con posibilidades más allá de las presenciales. Se busca mantener la buena </w:t>
      </w:r>
      <w:r w:rsidRPr="00712C33">
        <w:rPr>
          <w:rFonts w:ascii="Arial Narrow" w:hAnsi="Arial Narrow"/>
        </w:rPr>
        <w:lastRenderedPageBreak/>
        <w:t xml:space="preserve">participación en las actividades deportivas, académicas, culturales y de integración a la viuda universitaria. En cuanto a estas, destacan las realizadas en favor del eje de </w:t>
      </w:r>
      <w:r>
        <w:rPr>
          <w:rFonts w:ascii="Arial Narrow" w:hAnsi="Arial Narrow"/>
        </w:rPr>
        <w:t>e</w:t>
      </w:r>
      <w:r w:rsidRPr="00712C33">
        <w:rPr>
          <w:rFonts w:ascii="Arial Narrow" w:hAnsi="Arial Narrow"/>
        </w:rPr>
        <w:t xml:space="preserve">xtensión y por contenidos de </w:t>
      </w:r>
      <w:r w:rsidRPr="00712C33">
        <w:rPr>
          <w:rFonts w:ascii="Arial Narrow" w:hAnsi="Arial Narrow"/>
          <w:lang w:val="es-ES_tradnl"/>
        </w:rPr>
        <w:t xml:space="preserve">las artes y cultura en las licenciaturas en Diseño de Artesanía, Estudios Liberales e Historia del Arte, </w:t>
      </w:r>
      <w:r>
        <w:rPr>
          <w:rFonts w:ascii="Arial Narrow" w:hAnsi="Arial Narrow"/>
          <w:lang w:val="es-ES_tradnl"/>
        </w:rPr>
        <w:t xml:space="preserve">y la maestría en Gestión de Gobiernos Locales. Se busca fortalecer la cultura de la sustentabilidad y el fomento a la </w:t>
      </w:r>
      <w:proofErr w:type="spellStart"/>
      <w:r>
        <w:rPr>
          <w:rFonts w:ascii="Arial Narrow" w:hAnsi="Arial Narrow"/>
          <w:lang w:val="es-ES_tradnl"/>
        </w:rPr>
        <w:t>multidisciplinariedad</w:t>
      </w:r>
      <w:proofErr w:type="spellEnd"/>
      <w:r>
        <w:rPr>
          <w:rFonts w:ascii="Arial Narrow" w:hAnsi="Arial Narrow"/>
          <w:lang w:val="es-ES_tradnl"/>
        </w:rPr>
        <w:t>.</w:t>
      </w:r>
    </w:p>
    <w:p w14:paraId="53F0ADB5" w14:textId="77777777" w:rsidR="00E73730" w:rsidRDefault="00E73730" w:rsidP="00E73730">
      <w:pPr>
        <w:spacing w:after="0" w:line="240" w:lineRule="auto"/>
        <w:jc w:val="both"/>
        <w:rPr>
          <w:rFonts w:ascii="Arial Narrow" w:hAnsi="Arial Narrow"/>
          <w:i/>
          <w:u w:val="single"/>
        </w:rPr>
      </w:pPr>
      <w:r>
        <w:rPr>
          <w:rFonts w:ascii="Arial Narrow" w:hAnsi="Arial Narrow"/>
        </w:rPr>
        <w:t>Se localiza que es necesario incrementar el desarrollo de habilidades profesionales, aspecto que se pretende favorecer con el aumento de prácticas en laboratorios y talleres con equipamiento pertinente e innovador. Así también, incrementar la impartición de eventos en relación al fomento a la salud, y ambientes para propiciar la transición del pregrado al posgrado.</w:t>
      </w:r>
    </w:p>
    <w:p w14:paraId="6B481ECC" w14:textId="77777777" w:rsidR="00DE06D7" w:rsidRDefault="00DE06D7" w:rsidP="00E73730">
      <w:pPr>
        <w:spacing w:after="0" w:line="240" w:lineRule="auto"/>
        <w:rPr>
          <w:rFonts w:ascii="Arial Narrow" w:hAnsi="Arial Narrow" w:cs="Arial"/>
          <w:b/>
        </w:rPr>
      </w:pPr>
    </w:p>
    <w:p w14:paraId="446E8926" w14:textId="68590ADB" w:rsidR="00730AC9" w:rsidRDefault="00730AC9" w:rsidP="00E73730">
      <w:pPr>
        <w:spacing w:after="0" w:line="240" w:lineRule="auto"/>
        <w:rPr>
          <w:rFonts w:ascii="Arial Narrow" w:hAnsi="Arial Narrow" w:cs="Arial"/>
          <w:b/>
        </w:rPr>
      </w:pPr>
      <w:r>
        <w:rPr>
          <w:rFonts w:ascii="Arial Narrow" w:hAnsi="Arial Narrow" w:cs="Arial"/>
          <w:b/>
        </w:rPr>
        <w:t>9.</w:t>
      </w:r>
      <w:r w:rsidR="00DE06D7">
        <w:rPr>
          <w:rFonts w:ascii="Arial Narrow" w:hAnsi="Arial Narrow" w:cs="Arial"/>
          <w:b/>
        </w:rPr>
        <w:t xml:space="preserve"> Análisis de evaluación de la gestión </w:t>
      </w:r>
    </w:p>
    <w:p w14:paraId="3B0E78AE" w14:textId="253B893A" w:rsidR="009248AC" w:rsidRDefault="009248AC" w:rsidP="00E73730">
      <w:pPr>
        <w:spacing w:after="0" w:line="240" w:lineRule="auto"/>
        <w:rPr>
          <w:rFonts w:ascii="Arial Narrow" w:hAnsi="Arial Narrow" w:cs="Arial"/>
          <w:b/>
        </w:rPr>
      </w:pPr>
      <w:r w:rsidRPr="00DE06D7">
        <w:rPr>
          <w:rFonts w:ascii="Arial Narrow" w:hAnsi="Arial Narrow" w:cs="Arial"/>
        </w:rPr>
        <w:t xml:space="preserve">Este análisis es </w:t>
      </w:r>
      <w:r>
        <w:rPr>
          <w:rFonts w:ascii="Arial Narrow" w:hAnsi="Arial Narrow" w:cs="Arial"/>
        </w:rPr>
        <w:t>de</w:t>
      </w:r>
      <w:r w:rsidR="00E73730">
        <w:rPr>
          <w:rFonts w:ascii="Arial Narrow" w:hAnsi="Arial Narrow" w:cs="Arial"/>
        </w:rPr>
        <w:t>l</w:t>
      </w:r>
      <w:r>
        <w:rPr>
          <w:rFonts w:ascii="Arial Narrow" w:hAnsi="Arial Narrow" w:cs="Arial"/>
        </w:rPr>
        <w:t xml:space="preserve"> ámbito</w:t>
      </w:r>
      <w:r w:rsidRPr="00DE06D7">
        <w:rPr>
          <w:rFonts w:ascii="Arial Narrow" w:hAnsi="Arial Narrow" w:cs="Arial"/>
        </w:rPr>
        <w:t xml:space="preserve"> institucional</w:t>
      </w:r>
      <w:r>
        <w:rPr>
          <w:rFonts w:ascii="Arial Narrow" w:hAnsi="Arial Narrow" w:cs="Arial"/>
          <w:b/>
        </w:rPr>
        <w:t xml:space="preserve"> </w:t>
      </w:r>
    </w:p>
    <w:p w14:paraId="62B92FB7" w14:textId="77777777" w:rsidR="00DE06D7" w:rsidRDefault="00DE06D7" w:rsidP="00E73730">
      <w:pPr>
        <w:spacing w:after="0" w:line="240" w:lineRule="auto"/>
        <w:rPr>
          <w:rFonts w:ascii="Arial Narrow" w:hAnsi="Arial Narrow" w:cs="Arial"/>
          <w:b/>
        </w:rPr>
      </w:pPr>
    </w:p>
    <w:p w14:paraId="5F904C12" w14:textId="4E45AE39" w:rsidR="00730AC9" w:rsidRDefault="00730AC9" w:rsidP="00E73730">
      <w:pPr>
        <w:spacing w:after="0" w:line="240" w:lineRule="auto"/>
        <w:rPr>
          <w:rFonts w:ascii="Arial Narrow" w:hAnsi="Arial Narrow" w:cs="Arial"/>
          <w:b/>
        </w:rPr>
      </w:pPr>
      <w:r>
        <w:rPr>
          <w:rFonts w:ascii="Arial Narrow" w:hAnsi="Arial Narrow" w:cs="Arial"/>
          <w:b/>
        </w:rPr>
        <w:t>10.</w:t>
      </w:r>
      <w:r w:rsidR="00DE06D7">
        <w:rPr>
          <w:rFonts w:ascii="Arial Narrow" w:hAnsi="Arial Narrow" w:cs="Arial"/>
          <w:b/>
        </w:rPr>
        <w:t xml:space="preserve"> Análisis de la capacidad de física instalada </w:t>
      </w:r>
    </w:p>
    <w:p w14:paraId="669B8EDB" w14:textId="091C7EDD" w:rsidR="009248AC" w:rsidRDefault="009248AC" w:rsidP="00E73730">
      <w:pPr>
        <w:spacing w:after="0" w:line="240" w:lineRule="auto"/>
        <w:rPr>
          <w:rFonts w:ascii="Arial Narrow" w:hAnsi="Arial Narrow" w:cs="Arial"/>
          <w:b/>
        </w:rPr>
      </w:pPr>
      <w:r w:rsidRPr="00DE06D7">
        <w:rPr>
          <w:rFonts w:ascii="Arial Narrow" w:hAnsi="Arial Narrow" w:cs="Arial"/>
        </w:rPr>
        <w:t xml:space="preserve">Este análisis es </w:t>
      </w:r>
      <w:r>
        <w:rPr>
          <w:rFonts w:ascii="Arial Narrow" w:hAnsi="Arial Narrow" w:cs="Arial"/>
        </w:rPr>
        <w:t>de</w:t>
      </w:r>
      <w:r w:rsidR="00E73730">
        <w:rPr>
          <w:rFonts w:ascii="Arial Narrow" w:hAnsi="Arial Narrow" w:cs="Arial"/>
        </w:rPr>
        <w:t>l</w:t>
      </w:r>
      <w:r>
        <w:rPr>
          <w:rFonts w:ascii="Arial Narrow" w:hAnsi="Arial Narrow" w:cs="Arial"/>
        </w:rPr>
        <w:t xml:space="preserve"> ámbito</w:t>
      </w:r>
      <w:r w:rsidRPr="00DE06D7">
        <w:rPr>
          <w:rFonts w:ascii="Arial Narrow" w:hAnsi="Arial Narrow" w:cs="Arial"/>
        </w:rPr>
        <w:t xml:space="preserve"> institucional</w:t>
      </w:r>
      <w:r>
        <w:rPr>
          <w:rFonts w:ascii="Arial Narrow" w:hAnsi="Arial Narrow" w:cs="Arial"/>
          <w:b/>
        </w:rPr>
        <w:t xml:space="preserve"> </w:t>
      </w:r>
    </w:p>
    <w:p w14:paraId="296D978E" w14:textId="77777777" w:rsidR="00DE06D7" w:rsidRDefault="00DE06D7" w:rsidP="00E73730">
      <w:pPr>
        <w:spacing w:after="0" w:line="240" w:lineRule="auto"/>
        <w:rPr>
          <w:rFonts w:ascii="Arial Narrow" w:hAnsi="Arial Narrow" w:cs="Arial"/>
          <w:b/>
        </w:rPr>
      </w:pPr>
    </w:p>
    <w:p w14:paraId="50382EF0" w14:textId="0E68B7CE" w:rsidR="00730AC9" w:rsidRDefault="00730AC9" w:rsidP="00E73730">
      <w:pPr>
        <w:spacing w:after="0" w:line="240" w:lineRule="auto"/>
        <w:rPr>
          <w:rFonts w:ascii="Arial Narrow" w:hAnsi="Arial Narrow" w:cs="Arial"/>
          <w:b/>
        </w:rPr>
      </w:pPr>
      <w:r>
        <w:rPr>
          <w:rFonts w:ascii="Arial Narrow" w:hAnsi="Arial Narrow" w:cs="Arial"/>
          <w:b/>
        </w:rPr>
        <w:t>11.</w:t>
      </w:r>
      <w:r w:rsidR="00DE06D7">
        <w:rPr>
          <w:rFonts w:ascii="Arial Narrow" w:hAnsi="Arial Narrow" w:cs="Arial"/>
          <w:b/>
        </w:rPr>
        <w:t xml:space="preserve"> Análisis de los problemas estructurales </w:t>
      </w:r>
    </w:p>
    <w:p w14:paraId="78C4490A" w14:textId="51E63F70" w:rsidR="009248AC" w:rsidRDefault="009248AC" w:rsidP="00E73730">
      <w:pPr>
        <w:spacing w:after="0" w:line="240" w:lineRule="auto"/>
        <w:rPr>
          <w:rFonts w:ascii="Arial Narrow" w:hAnsi="Arial Narrow" w:cs="Arial"/>
          <w:b/>
        </w:rPr>
      </w:pPr>
      <w:r w:rsidRPr="00DE06D7">
        <w:rPr>
          <w:rFonts w:ascii="Arial Narrow" w:hAnsi="Arial Narrow" w:cs="Arial"/>
        </w:rPr>
        <w:t xml:space="preserve">Este análisis es </w:t>
      </w:r>
      <w:r>
        <w:rPr>
          <w:rFonts w:ascii="Arial Narrow" w:hAnsi="Arial Narrow" w:cs="Arial"/>
        </w:rPr>
        <w:t>de</w:t>
      </w:r>
      <w:r w:rsidR="00E73730">
        <w:rPr>
          <w:rFonts w:ascii="Arial Narrow" w:hAnsi="Arial Narrow" w:cs="Arial"/>
        </w:rPr>
        <w:t>l</w:t>
      </w:r>
      <w:r>
        <w:rPr>
          <w:rFonts w:ascii="Arial Narrow" w:hAnsi="Arial Narrow" w:cs="Arial"/>
        </w:rPr>
        <w:t xml:space="preserve"> ámbito</w:t>
      </w:r>
      <w:r w:rsidRPr="00DE06D7">
        <w:rPr>
          <w:rFonts w:ascii="Arial Narrow" w:hAnsi="Arial Narrow" w:cs="Arial"/>
        </w:rPr>
        <w:t xml:space="preserve"> institucional</w:t>
      </w:r>
      <w:r>
        <w:rPr>
          <w:rFonts w:ascii="Arial Narrow" w:hAnsi="Arial Narrow" w:cs="Arial"/>
          <w:b/>
        </w:rPr>
        <w:t xml:space="preserve"> </w:t>
      </w:r>
    </w:p>
    <w:p w14:paraId="69828065" w14:textId="77777777" w:rsidR="00E73730" w:rsidRDefault="00E73730" w:rsidP="00E73730">
      <w:pPr>
        <w:spacing w:after="0" w:line="240" w:lineRule="auto"/>
        <w:jc w:val="both"/>
        <w:rPr>
          <w:rFonts w:ascii="Arial Narrow" w:hAnsi="Arial Narrow" w:cs="Arial"/>
          <w:b/>
        </w:rPr>
      </w:pPr>
    </w:p>
    <w:p w14:paraId="149F1AB2" w14:textId="51449E8B" w:rsidR="00E73730" w:rsidRPr="00E73730" w:rsidRDefault="00E73730" w:rsidP="00E73730">
      <w:pPr>
        <w:spacing w:after="0" w:line="240" w:lineRule="auto"/>
        <w:jc w:val="both"/>
        <w:rPr>
          <w:rFonts w:ascii="Arial Narrow" w:hAnsi="Arial Narrow"/>
          <w:b/>
        </w:rPr>
      </w:pPr>
      <w:r>
        <w:rPr>
          <w:rFonts w:ascii="Arial Narrow" w:hAnsi="Arial Narrow"/>
          <w:b/>
        </w:rPr>
        <w:t>12. Análisis de la igualdad de género universitaria</w:t>
      </w:r>
    </w:p>
    <w:p w14:paraId="5CC36C00" w14:textId="50832318" w:rsidR="00E73730" w:rsidRPr="00E73730" w:rsidRDefault="00E73730" w:rsidP="00E73730">
      <w:pPr>
        <w:spacing w:after="0" w:line="240" w:lineRule="auto"/>
        <w:jc w:val="both"/>
        <w:rPr>
          <w:rFonts w:ascii="Arial Narrow" w:hAnsi="Arial Narrow" w:cs="Arial"/>
        </w:rPr>
      </w:pPr>
      <w:r>
        <w:rPr>
          <w:rFonts w:ascii="Arial Narrow" w:hAnsi="Arial Narrow" w:cs="Arial"/>
        </w:rPr>
        <w:t xml:space="preserve">En los planes de trabajo realizados por los coordinadores de carrera y jefes de departamento, se ha vigilado que el número de beneficiarios favorezca a hombres y mujeres por igual. </w:t>
      </w:r>
      <w:r>
        <w:rPr>
          <w:rFonts w:ascii="Arial Narrow" w:eastAsia="Calibri" w:hAnsi="Arial Narrow" w:cs="Arial"/>
          <w:lang w:val="es-ES"/>
        </w:rPr>
        <w:t>La red universitaria se encuentra en el marco de un proyecto llamado Igualdad de Género,</w:t>
      </w:r>
      <w:r>
        <w:rPr>
          <w:rFonts w:ascii="Arial Narrow" w:hAnsi="Arial Narrow" w:cs="Arial"/>
        </w:rPr>
        <w:t xml:space="preserve"> y</w:t>
      </w:r>
      <w:r>
        <w:rPr>
          <w:rFonts w:ascii="Arial Narrow" w:eastAsia="Calibri" w:hAnsi="Arial Narrow" w:cs="Arial"/>
          <w:lang w:val="es-ES"/>
        </w:rPr>
        <w:t xml:space="preserve"> es para </w:t>
      </w:r>
      <w:proofErr w:type="spellStart"/>
      <w:r>
        <w:rPr>
          <w:rFonts w:ascii="Arial Narrow" w:eastAsia="Calibri" w:hAnsi="Arial Narrow" w:cs="Arial"/>
          <w:lang w:val="es-ES"/>
        </w:rPr>
        <w:t>CUTonalá</w:t>
      </w:r>
      <w:proofErr w:type="spellEnd"/>
      <w:r>
        <w:rPr>
          <w:rFonts w:ascii="Arial Narrow" w:eastAsia="Calibri" w:hAnsi="Arial Narrow" w:cs="Arial"/>
          <w:lang w:val="es-ES"/>
        </w:rPr>
        <w:t xml:space="preserve"> un compromiso la inclusión de la igualdad de género dentro de sus programas educativos.</w:t>
      </w:r>
    </w:p>
    <w:p w14:paraId="501322A7" w14:textId="77777777" w:rsidR="00E73730" w:rsidRDefault="00E73730" w:rsidP="00E73730">
      <w:pPr>
        <w:spacing w:after="0" w:line="240" w:lineRule="auto"/>
        <w:rPr>
          <w:rFonts w:ascii="Arial Narrow" w:hAnsi="Arial Narrow" w:cs="Arial"/>
          <w:b/>
        </w:rPr>
      </w:pPr>
      <w:r>
        <w:rPr>
          <w:rFonts w:ascii="Arial Narrow" w:hAnsi="Arial Narrow" w:cs="Arial"/>
        </w:rPr>
        <w:t>Con respecto a la estadística 911, los porcentajes de estudiantes hombres y mujeres son casi paritarios en el Centro Universitario de Tonalá, el 50.05% de la matrícula corresponde a los hombres y el 49.95% corresponde a mujeres. Un dato relevante y destacable es que en 10 de los 13 PE de licenciatura, la gran mayoría de estudiantes son mujeres; sin embargo, la cifra se empata dramáticamente con la matrícula de las licenciaturas en Ingeniería en Ciencias Computacionales, Energía y Nanotecnología.</w:t>
      </w:r>
    </w:p>
    <w:p w14:paraId="41254731" w14:textId="77777777" w:rsidR="00E73730" w:rsidRDefault="00E73730" w:rsidP="00E73730">
      <w:pPr>
        <w:spacing w:after="0" w:line="240" w:lineRule="auto"/>
        <w:rPr>
          <w:rFonts w:ascii="Arial Narrow" w:hAnsi="Arial Narrow" w:cs="Arial"/>
          <w:b/>
        </w:rPr>
      </w:pPr>
    </w:p>
    <w:p w14:paraId="5A51B758" w14:textId="77777777" w:rsidR="00DE06D7" w:rsidRDefault="00DE06D7" w:rsidP="00DE06D7">
      <w:pPr>
        <w:spacing w:after="0" w:line="240" w:lineRule="auto"/>
        <w:rPr>
          <w:rFonts w:ascii="Arial Narrow" w:hAnsi="Arial Narrow" w:cs="Arial"/>
          <w:b/>
        </w:rPr>
      </w:pPr>
    </w:p>
    <w:p w14:paraId="1CB14610" w14:textId="124768A7" w:rsidR="002B5985" w:rsidRDefault="002B5985" w:rsidP="00DE06D7">
      <w:pPr>
        <w:spacing w:after="0" w:line="240" w:lineRule="auto"/>
        <w:jc w:val="both"/>
        <w:rPr>
          <w:rFonts w:ascii="Arial Narrow" w:hAnsi="Arial Narrow" w:cs="Arial"/>
        </w:rPr>
      </w:pPr>
    </w:p>
    <w:p w14:paraId="5E305506" w14:textId="77777777" w:rsidR="002B5985" w:rsidRPr="002B5985" w:rsidRDefault="002B5985" w:rsidP="002B5985">
      <w:pPr>
        <w:rPr>
          <w:rFonts w:ascii="Arial Narrow" w:hAnsi="Arial Narrow" w:cs="Arial"/>
        </w:rPr>
      </w:pPr>
    </w:p>
    <w:p w14:paraId="09FA8F11" w14:textId="77777777" w:rsidR="002B5985" w:rsidRPr="002B5985" w:rsidRDefault="002B5985" w:rsidP="002B5985">
      <w:pPr>
        <w:rPr>
          <w:rFonts w:ascii="Arial Narrow" w:hAnsi="Arial Narrow" w:cs="Arial"/>
        </w:rPr>
      </w:pPr>
    </w:p>
    <w:p w14:paraId="34B049D7" w14:textId="77777777" w:rsidR="002B5985" w:rsidRPr="002B5985" w:rsidRDefault="002B5985" w:rsidP="002B5985">
      <w:pPr>
        <w:rPr>
          <w:rFonts w:ascii="Arial Narrow" w:hAnsi="Arial Narrow" w:cs="Arial"/>
        </w:rPr>
      </w:pPr>
    </w:p>
    <w:p w14:paraId="27A6851A" w14:textId="77777777" w:rsidR="002B5985" w:rsidRPr="002B5985" w:rsidRDefault="002B5985" w:rsidP="002B5985">
      <w:pPr>
        <w:rPr>
          <w:rFonts w:ascii="Arial Narrow" w:hAnsi="Arial Narrow" w:cs="Arial"/>
        </w:rPr>
      </w:pPr>
    </w:p>
    <w:p w14:paraId="3937550A" w14:textId="77777777" w:rsidR="002B5985" w:rsidRPr="002B5985" w:rsidRDefault="002B5985" w:rsidP="002B5985">
      <w:pPr>
        <w:rPr>
          <w:rFonts w:ascii="Arial Narrow" w:hAnsi="Arial Narrow" w:cs="Arial"/>
        </w:rPr>
      </w:pPr>
    </w:p>
    <w:p w14:paraId="3E03B091" w14:textId="77777777" w:rsidR="002B5985" w:rsidRPr="002B5985" w:rsidRDefault="002B5985" w:rsidP="002B5985">
      <w:pPr>
        <w:rPr>
          <w:rFonts w:ascii="Arial Narrow" w:hAnsi="Arial Narrow" w:cs="Arial"/>
        </w:rPr>
      </w:pPr>
    </w:p>
    <w:p w14:paraId="507DE4A5" w14:textId="77777777" w:rsidR="002B5985" w:rsidRPr="002B5985" w:rsidRDefault="002B5985" w:rsidP="002B5985">
      <w:pPr>
        <w:rPr>
          <w:rFonts w:ascii="Arial Narrow" w:hAnsi="Arial Narrow" w:cs="Arial"/>
        </w:rPr>
      </w:pPr>
    </w:p>
    <w:p w14:paraId="58868FC8" w14:textId="08B96BFB" w:rsidR="002B5985" w:rsidRDefault="002B5985" w:rsidP="002B5985">
      <w:pPr>
        <w:rPr>
          <w:rFonts w:ascii="Arial Narrow" w:hAnsi="Arial Narrow" w:cs="Arial"/>
        </w:rPr>
      </w:pPr>
    </w:p>
    <w:p w14:paraId="4C702E16" w14:textId="77777777" w:rsidR="000946D4" w:rsidRPr="002B5985" w:rsidRDefault="000946D4" w:rsidP="002B5985">
      <w:pPr>
        <w:jc w:val="center"/>
        <w:rPr>
          <w:rFonts w:ascii="Arial Narrow" w:hAnsi="Arial Narrow" w:cs="Arial"/>
        </w:rPr>
      </w:pPr>
    </w:p>
    <w:sectPr w:rsidR="000946D4" w:rsidRPr="002B5985" w:rsidSect="00CA0ADA">
      <w:headerReference w:type="default" r:id="rId11"/>
      <w:footerReference w:type="default" r:id="rId12"/>
      <w:pgSz w:w="12240" w:h="15840"/>
      <w:pgMar w:top="720" w:right="720" w:bottom="720" w:left="1134" w:header="568"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9F78FC" w14:textId="77777777" w:rsidR="00333E26" w:rsidRDefault="00333E26" w:rsidP="0025211B">
      <w:pPr>
        <w:spacing w:after="0" w:line="240" w:lineRule="auto"/>
      </w:pPr>
      <w:r>
        <w:separator/>
      </w:r>
    </w:p>
  </w:endnote>
  <w:endnote w:type="continuationSeparator" w:id="0">
    <w:p w14:paraId="6E7D5570" w14:textId="77777777" w:rsidR="00333E26" w:rsidRDefault="00333E26" w:rsidP="00252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useo Sans 500">
    <w:altName w:val="Museo Sans 500"/>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useoSans-500">
    <w:panose1 w:val="00000000000000000000"/>
    <w:charset w:val="00"/>
    <w:family w:val="swiss"/>
    <w:notTrueType/>
    <w:pitch w:val="default"/>
    <w:sig w:usb0="00000003" w:usb1="00000000" w:usb2="00000000" w:usb3="00000000" w:csb0="00000001" w:csb1="00000000"/>
  </w:font>
  <w:font w:name="Museo Sans">
    <w:altName w:val="Museo 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D7261" w14:textId="06785F20" w:rsidR="00512D01" w:rsidRDefault="009248AC">
    <w:pPr>
      <w:pStyle w:val="Piedepgina"/>
    </w:pPr>
    <w:r>
      <w:rPr>
        <w:noProof/>
        <w:lang w:eastAsia="es-MX"/>
      </w:rPr>
      <mc:AlternateContent>
        <mc:Choice Requires="wps">
          <w:drawing>
            <wp:anchor distT="0" distB="0" distL="0" distR="0" simplePos="0" relativeHeight="251658240" behindDoc="0" locked="0" layoutInCell="1" allowOverlap="1" wp14:anchorId="51662692" wp14:editId="17247803">
              <wp:simplePos x="0" y="0"/>
              <wp:positionH relativeFrom="rightMargin">
                <wp:posOffset>-449580</wp:posOffset>
              </wp:positionH>
              <wp:positionV relativeFrom="bottomMargin">
                <wp:posOffset>6985</wp:posOffset>
              </wp:positionV>
              <wp:extent cx="457200" cy="320040"/>
              <wp:effectExtent l="0" t="0" r="0" b="3810"/>
              <wp:wrapSquare wrapText="bothSides"/>
              <wp:docPr id="40" name="Rectá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7030A0"/>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835D4C" w14:textId="77777777" w:rsidR="00512D01" w:rsidRDefault="00512D0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CA0ADA" w:rsidRPr="00CA0ADA">
                            <w:rPr>
                              <w:noProof/>
                              <w:color w:val="FFFFFF" w:themeColor="background1"/>
                              <w:sz w:val="28"/>
                              <w:szCs w:val="28"/>
                              <w:lang w:val="es-ES"/>
                            </w:rPr>
                            <w:t>0</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40" o:spid="_x0000_s1026" style="position:absolute;margin-left:-35.4pt;margin-top:.55pt;width:36pt;height:25.2pt;z-index:25165824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" fillcolor="#7030a0" stroked="f" strokeweight="3pt">
              <v:textbox>
                <w:txbxContent>
                  <w:p w14:paraId="1A835D4C" w14:textId="77777777" w:rsidR="00512D01" w:rsidRDefault="00512D0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CA0ADA" w:rsidRPr="00CA0ADA">
                      <w:rPr>
                        <w:noProof/>
                        <w:color w:val="FFFFFF" w:themeColor="background1"/>
                        <w:sz w:val="28"/>
                        <w:szCs w:val="28"/>
                        <w:lang w:val="es-ES"/>
                      </w:rPr>
                      <w:t>0</w:t>
                    </w:r>
                    <w:r>
                      <w:rPr>
                        <w:color w:val="FFFFFF" w:themeColor="background1"/>
                        <w:sz w:val="28"/>
                        <w:szCs w:val="28"/>
                      </w:rPr>
                      <w:fldChar w:fldCharType="end"/>
                    </w:r>
                  </w:p>
                </w:txbxContent>
              </v:textbox>
              <w10:wrap type="square" anchorx="margin" anchory="margin"/>
            </v:rect>
          </w:pict>
        </mc:Fallback>
      </mc:AlternateContent>
    </w:r>
    <w:r w:rsidR="00512D01">
      <w:rPr>
        <w:noProof/>
        <w:lang w:eastAsia="es-MX"/>
      </w:rPr>
      <mc:AlternateContent>
        <mc:Choice Requires="wps">
          <w:drawing>
            <wp:anchor distT="0" distB="0" distL="114300" distR="114300" simplePos="0" relativeHeight="251660288" behindDoc="0" locked="0" layoutInCell="1" allowOverlap="1" wp14:anchorId="7079AE9C" wp14:editId="52E60386">
              <wp:simplePos x="0" y="0"/>
              <wp:positionH relativeFrom="margin">
                <wp:posOffset>-3175</wp:posOffset>
              </wp:positionH>
              <wp:positionV relativeFrom="paragraph">
                <wp:posOffset>10795</wp:posOffset>
              </wp:positionV>
              <wp:extent cx="5924550" cy="254000"/>
              <wp:effectExtent l="0" t="0" r="0" b="12700"/>
              <wp:wrapSquare wrapText="bothSides"/>
              <wp:docPr id="39" name="Cuadro de texto 39"/>
              <wp:cNvGraphicFramePr/>
              <a:graphic xmlns:a="http://schemas.openxmlformats.org/drawingml/2006/main">
                <a:graphicData uri="http://schemas.microsoft.com/office/word/2010/wordprocessingShape">
                  <wps:wsp>
                    <wps:cNvSpPr txBox="1"/>
                    <wps:spPr>
                      <a:xfrm>
                        <a:off x="0" y="0"/>
                        <a:ext cx="592455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Fecha"/>
                            <w:tag w:val=""/>
                            <w:id w:val="-1063724354"/>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EndPr/>
                          <w:sdtContent>
                            <w:p w14:paraId="4DF17728" w14:textId="26606839" w:rsidR="00512D01" w:rsidRDefault="00512D01">
                              <w:pPr>
                                <w:jc w:val="right"/>
                                <w:rPr>
                                  <w:color w:val="7F7F7F" w:themeColor="text1" w:themeTint="80"/>
                                </w:rPr>
                              </w:pPr>
                              <w:r>
                                <w:rPr>
                                  <w:color w:val="7F7F7F" w:themeColor="text1" w:themeTint="80"/>
                                </w:rPr>
                                <w:t>CENTRO UNIVERSITARIO DE</w:t>
                              </w:r>
                              <w:r w:rsidR="008A61BB">
                                <w:rPr>
                                  <w:color w:val="7F7F7F" w:themeColor="text1" w:themeTint="80"/>
                                </w:rPr>
                                <w:t xml:space="preserve"> TONALÁ</w:t>
                              </w:r>
                            </w:p>
                          </w:sdtContent>
                        </w:sdt>
                        <w:p w14:paraId="43751A57" w14:textId="77777777" w:rsidR="00512D01" w:rsidRDefault="00512D01">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39" o:spid="_x0000_s1027" type="#_x0000_t202" style="position:absolute;margin-left:-.25pt;margin-top:.85pt;width:466.5pt;height:20pt;z-index:251660288;visibility:visible;mso-wrap-style:square;mso-wrap-distance-left:9pt;mso-wrap-distance-top:0;mso-wrap-distance-right:9pt;mso-wrap-distance-bottom:0;mso-position-horizontal:absolute;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" filled="f" stroked="f" strokeweight=".5pt">
              <v:textbox inset=",,,0">
                <w:txbxContent>
                  <w:sdt>
                    <w:sdtPr>
                      <w:rPr>
                        <w:color w:val="7F7F7F" w:themeColor="text1" w:themeTint="80"/>
                      </w:rPr>
                      <w:alias w:val="Fecha"/>
                      <w:tag w:val=""/>
                      <w:id w:val="-1063724354"/>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EndPr/>
                    <w:sdtContent>
                      <w:p w14:paraId="4DF17728" w14:textId="26606839" w:rsidR="00512D01" w:rsidRDefault="00512D01">
                        <w:pPr>
                          <w:jc w:val="right"/>
                          <w:rPr>
                            <w:color w:val="7F7F7F" w:themeColor="text1" w:themeTint="80"/>
                          </w:rPr>
                        </w:pPr>
                        <w:r>
                          <w:rPr>
                            <w:color w:val="7F7F7F" w:themeColor="text1" w:themeTint="80"/>
                          </w:rPr>
                          <w:t>CENTRO UNIVERSITARIO DE</w:t>
                        </w:r>
                        <w:r w:rsidR="008A61BB">
                          <w:rPr>
                            <w:color w:val="7F7F7F" w:themeColor="text1" w:themeTint="80"/>
                          </w:rPr>
                          <w:t xml:space="preserve"> TONALÁ</w:t>
                        </w:r>
                      </w:p>
                    </w:sdtContent>
                  </w:sdt>
                  <w:p w14:paraId="43751A57" w14:textId="77777777" w:rsidR="00512D01" w:rsidRDefault="00512D01">
                    <w:pPr>
                      <w:jc w:val="right"/>
                      <w:rPr>
                        <w:color w:val="808080" w:themeColor="background1" w:themeShade="80"/>
                      </w:rPr>
                    </w:pP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ABF9B" w14:textId="77777777" w:rsidR="00333E26" w:rsidRDefault="00333E26" w:rsidP="0025211B">
      <w:pPr>
        <w:spacing w:after="0" w:line="240" w:lineRule="auto"/>
      </w:pPr>
      <w:r>
        <w:separator/>
      </w:r>
    </w:p>
  </w:footnote>
  <w:footnote w:type="continuationSeparator" w:id="0">
    <w:p w14:paraId="5F325B19" w14:textId="77777777" w:rsidR="00333E26" w:rsidRDefault="00333E26" w:rsidP="002521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70FB4" w14:textId="77777777" w:rsidR="0025211B" w:rsidRDefault="0025211B">
    <w:pPr>
      <w:pStyle w:val="Encabezado"/>
    </w:pPr>
    <w:r>
      <w:rPr>
        <w:noProof/>
        <w:lang w:eastAsia="es-MX"/>
      </w:rPr>
      <w:drawing>
        <wp:inline distT="0" distB="0" distL="0" distR="0" wp14:anchorId="673D2271" wp14:editId="4A2FD1BC">
          <wp:extent cx="6529826" cy="583421"/>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ntilla pfce 2018_2019.png"/>
                  <pic:cNvPicPr/>
                </pic:nvPicPr>
                <pic:blipFill>
                  <a:blip r:embed="rId1">
                    <a:extLst>
                      <a:ext uri="{28A0092B-C50C-407E-A947-70E740481C1C}">
                        <a14:useLocalDpi xmlns:a14="http://schemas.microsoft.com/office/drawing/2010/main" val="0"/>
                      </a:ext>
                    </a:extLst>
                  </a:blip>
                  <a:stretch>
                    <a:fillRect/>
                  </a:stretch>
                </pic:blipFill>
                <pic:spPr>
                  <a:xfrm>
                    <a:off x="0" y="0"/>
                    <a:ext cx="6574080" cy="5873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3148"/>
    <w:multiLevelType w:val="hybridMultilevel"/>
    <w:tmpl w:val="FF9E12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F007E83"/>
    <w:multiLevelType w:val="hybridMultilevel"/>
    <w:tmpl w:val="879607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11B"/>
    <w:rsid w:val="00015823"/>
    <w:rsid w:val="00041C72"/>
    <w:rsid w:val="000807C7"/>
    <w:rsid w:val="00085DAC"/>
    <w:rsid w:val="0009185F"/>
    <w:rsid w:val="000946D4"/>
    <w:rsid w:val="000D53B5"/>
    <w:rsid w:val="000E143D"/>
    <w:rsid w:val="00105A28"/>
    <w:rsid w:val="00106593"/>
    <w:rsid w:val="0013198D"/>
    <w:rsid w:val="00132864"/>
    <w:rsid w:val="0017359D"/>
    <w:rsid w:val="00186F25"/>
    <w:rsid w:val="001B3A75"/>
    <w:rsid w:val="001B59F4"/>
    <w:rsid w:val="001C4A4B"/>
    <w:rsid w:val="001F2748"/>
    <w:rsid w:val="001F2970"/>
    <w:rsid w:val="0020793D"/>
    <w:rsid w:val="00220D80"/>
    <w:rsid w:val="0025211B"/>
    <w:rsid w:val="00263E09"/>
    <w:rsid w:val="00284F5C"/>
    <w:rsid w:val="00297FCD"/>
    <w:rsid w:val="002B5985"/>
    <w:rsid w:val="002E1178"/>
    <w:rsid w:val="002E7D1C"/>
    <w:rsid w:val="00333761"/>
    <w:rsid w:val="00333E26"/>
    <w:rsid w:val="00373BB6"/>
    <w:rsid w:val="0038036D"/>
    <w:rsid w:val="00386ACE"/>
    <w:rsid w:val="003B4CF1"/>
    <w:rsid w:val="003C273B"/>
    <w:rsid w:val="003F4E19"/>
    <w:rsid w:val="004052C6"/>
    <w:rsid w:val="00423FFC"/>
    <w:rsid w:val="00426B45"/>
    <w:rsid w:val="00437954"/>
    <w:rsid w:val="0046388C"/>
    <w:rsid w:val="00480AF1"/>
    <w:rsid w:val="004B0AC8"/>
    <w:rsid w:val="00512D01"/>
    <w:rsid w:val="0057006B"/>
    <w:rsid w:val="00575099"/>
    <w:rsid w:val="00582532"/>
    <w:rsid w:val="00593C4D"/>
    <w:rsid w:val="005A34E4"/>
    <w:rsid w:val="005B5EB0"/>
    <w:rsid w:val="005C20E6"/>
    <w:rsid w:val="005E3036"/>
    <w:rsid w:val="005F7CE8"/>
    <w:rsid w:val="00602925"/>
    <w:rsid w:val="00616CEA"/>
    <w:rsid w:val="006264C2"/>
    <w:rsid w:val="00632132"/>
    <w:rsid w:val="006446BD"/>
    <w:rsid w:val="0065667E"/>
    <w:rsid w:val="00667051"/>
    <w:rsid w:val="006735F8"/>
    <w:rsid w:val="0068556E"/>
    <w:rsid w:val="006B25C8"/>
    <w:rsid w:val="006C7338"/>
    <w:rsid w:val="006F1D80"/>
    <w:rsid w:val="0071276D"/>
    <w:rsid w:val="00730AC9"/>
    <w:rsid w:val="007310C4"/>
    <w:rsid w:val="00757972"/>
    <w:rsid w:val="00814F0C"/>
    <w:rsid w:val="00825C99"/>
    <w:rsid w:val="0086060B"/>
    <w:rsid w:val="00880736"/>
    <w:rsid w:val="008A1151"/>
    <w:rsid w:val="008A61BB"/>
    <w:rsid w:val="008A6779"/>
    <w:rsid w:val="008B30F1"/>
    <w:rsid w:val="008B5D9F"/>
    <w:rsid w:val="008C016F"/>
    <w:rsid w:val="008C6924"/>
    <w:rsid w:val="00910071"/>
    <w:rsid w:val="009248AC"/>
    <w:rsid w:val="009B7AD0"/>
    <w:rsid w:val="009C5EFD"/>
    <w:rsid w:val="00A154D3"/>
    <w:rsid w:val="00A47F8C"/>
    <w:rsid w:val="00A5666C"/>
    <w:rsid w:val="00A66CB7"/>
    <w:rsid w:val="00AA2EFE"/>
    <w:rsid w:val="00B50912"/>
    <w:rsid w:val="00B62CF7"/>
    <w:rsid w:val="00B74245"/>
    <w:rsid w:val="00B82F68"/>
    <w:rsid w:val="00B86BA2"/>
    <w:rsid w:val="00BC7ED2"/>
    <w:rsid w:val="00BE3025"/>
    <w:rsid w:val="00C2432D"/>
    <w:rsid w:val="00C421D2"/>
    <w:rsid w:val="00C52B47"/>
    <w:rsid w:val="00C81B07"/>
    <w:rsid w:val="00C91EC0"/>
    <w:rsid w:val="00CA0ADA"/>
    <w:rsid w:val="00CE12C5"/>
    <w:rsid w:val="00D069DE"/>
    <w:rsid w:val="00D41C4B"/>
    <w:rsid w:val="00D55A7C"/>
    <w:rsid w:val="00DE06D7"/>
    <w:rsid w:val="00DE289D"/>
    <w:rsid w:val="00DF3ED6"/>
    <w:rsid w:val="00E018A3"/>
    <w:rsid w:val="00E0506C"/>
    <w:rsid w:val="00E7255C"/>
    <w:rsid w:val="00E73730"/>
    <w:rsid w:val="00EE2DF4"/>
    <w:rsid w:val="00F047ED"/>
    <w:rsid w:val="00F160A9"/>
    <w:rsid w:val="00F40A4C"/>
    <w:rsid w:val="00F66F9B"/>
    <w:rsid w:val="00FC0AB2"/>
    <w:rsid w:val="00FD5FA3"/>
    <w:rsid w:val="00FE16FE"/>
    <w:rsid w:val="00FE3E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220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F68"/>
  </w:style>
  <w:style w:type="paragraph" w:styleId="Ttulo1">
    <w:name w:val="heading 1"/>
    <w:basedOn w:val="Normal"/>
    <w:next w:val="Normal"/>
    <w:link w:val="Ttulo1Car"/>
    <w:uiPriority w:val="9"/>
    <w:qFormat/>
    <w:rsid w:val="00B82F6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21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211B"/>
  </w:style>
  <w:style w:type="paragraph" w:styleId="Piedepgina">
    <w:name w:val="footer"/>
    <w:basedOn w:val="Normal"/>
    <w:link w:val="PiedepginaCar"/>
    <w:uiPriority w:val="99"/>
    <w:unhideWhenUsed/>
    <w:rsid w:val="002521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211B"/>
  </w:style>
  <w:style w:type="character" w:customStyle="1" w:styleId="Ttulo1Car">
    <w:name w:val="Título 1 Car"/>
    <w:basedOn w:val="Fuentedeprrafopredeter"/>
    <w:link w:val="Ttulo1"/>
    <w:uiPriority w:val="9"/>
    <w:rsid w:val="00B82F68"/>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rsid w:val="00B82F68"/>
    <w:pPr>
      <w:spacing w:before="100" w:beforeAutospacing="1" w:after="100" w:afterAutospacing="1" w:line="240" w:lineRule="auto"/>
    </w:pPr>
    <w:rPr>
      <w:rFonts w:ascii="Times New Roman" w:hAnsi="Times New Roman" w:cs="Times New Roman"/>
      <w:sz w:val="24"/>
      <w:szCs w:val="24"/>
      <w:lang w:eastAsia="es-MX"/>
    </w:rPr>
  </w:style>
  <w:style w:type="paragraph" w:customStyle="1" w:styleId="p1">
    <w:name w:val="p1"/>
    <w:basedOn w:val="Normal"/>
    <w:rsid w:val="00B82F6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1">
    <w:name w:val="s1"/>
    <w:basedOn w:val="Fuentedeprrafopredeter"/>
    <w:rsid w:val="00B82F68"/>
  </w:style>
  <w:style w:type="paragraph" w:customStyle="1" w:styleId="Default">
    <w:name w:val="Default"/>
    <w:rsid w:val="00B82F68"/>
    <w:pPr>
      <w:autoSpaceDE w:val="0"/>
      <w:autoSpaceDN w:val="0"/>
      <w:adjustRightInd w:val="0"/>
      <w:spacing w:after="0" w:line="240" w:lineRule="auto"/>
    </w:pPr>
    <w:rPr>
      <w:rFonts w:ascii="Calibri" w:eastAsiaTheme="minorEastAsia" w:hAnsi="Calibri" w:cs="Calibri"/>
      <w:color w:val="000000"/>
      <w:sz w:val="24"/>
      <w:szCs w:val="24"/>
      <w:lang w:eastAsia="es-ES"/>
    </w:rPr>
  </w:style>
  <w:style w:type="paragraph" w:styleId="Sinespaciado">
    <w:name w:val="No Spacing"/>
    <w:link w:val="SinespaciadoCar"/>
    <w:uiPriority w:val="1"/>
    <w:qFormat/>
    <w:rsid w:val="00B82F68"/>
    <w:pPr>
      <w:spacing w:after="0" w:line="240" w:lineRule="auto"/>
    </w:pPr>
  </w:style>
  <w:style w:type="character" w:customStyle="1" w:styleId="SinespaciadoCar">
    <w:name w:val="Sin espaciado Car"/>
    <w:link w:val="Sinespaciado"/>
    <w:uiPriority w:val="1"/>
    <w:rsid w:val="00B82F68"/>
  </w:style>
  <w:style w:type="paragraph" w:styleId="Textodeglobo">
    <w:name w:val="Balloon Text"/>
    <w:basedOn w:val="Normal"/>
    <w:link w:val="TextodegloboCar"/>
    <w:uiPriority w:val="99"/>
    <w:semiHidden/>
    <w:unhideWhenUsed/>
    <w:rsid w:val="00C243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432D"/>
    <w:rPr>
      <w:rFonts w:ascii="Tahoma" w:hAnsi="Tahoma" w:cs="Tahoma"/>
      <w:sz w:val="16"/>
      <w:szCs w:val="16"/>
    </w:rPr>
  </w:style>
  <w:style w:type="character" w:styleId="Refdecomentario">
    <w:name w:val="annotation reference"/>
    <w:basedOn w:val="Fuentedeprrafopredeter"/>
    <w:uiPriority w:val="99"/>
    <w:semiHidden/>
    <w:unhideWhenUsed/>
    <w:rsid w:val="0065667E"/>
    <w:rPr>
      <w:sz w:val="16"/>
      <w:szCs w:val="16"/>
    </w:rPr>
  </w:style>
  <w:style w:type="paragraph" w:styleId="Textocomentario">
    <w:name w:val="annotation text"/>
    <w:basedOn w:val="Normal"/>
    <w:link w:val="TextocomentarioCar"/>
    <w:uiPriority w:val="99"/>
    <w:semiHidden/>
    <w:unhideWhenUsed/>
    <w:rsid w:val="006566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667E"/>
    <w:rPr>
      <w:sz w:val="20"/>
      <w:szCs w:val="20"/>
    </w:rPr>
  </w:style>
  <w:style w:type="paragraph" w:styleId="Asuntodelcomentario">
    <w:name w:val="annotation subject"/>
    <w:basedOn w:val="Textocomentario"/>
    <w:next w:val="Textocomentario"/>
    <w:link w:val="AsuntodelcomentarioCar"/>
    <w:uiPriority w:val="99"/>
    <w:semiHidden/>
    <w:unhideWhenUsed/>
    <w:rsid w:val="0065667E"/>
    <w:rPr>
      <w:b/>
      <w:bCs/>
    </w:rPr>
  </w:style>
  <w:style w:type="character" w:customStyle="1" w:styleId="AsuntodelcomentarioCar">
    <w:name w:val="Asunto del comentario Car"/>
    <w:basedOn w:val="TextocomentarioCar"/>
    <w:link w:val="Asuntodelcomentario"/>
    <w:uiPriority w:val="99"/>
    <w:semiHidden/>
    <w:rsid w:val="0065667E"/>
    <w:rPr>
      <w:b/>
      <w:bCs/>
      <w:sz w:val="20"/>
      <w:szCs w:val="20"/>
    </w:rPr>
  </w:style>
  <w:style w:type="paragraph" w:styleId="Prrafodelista">
    <w:name w:val="List Paragraph"/>
    <w:basedOn w:val="Normal"/>
    <w:link w:val="PrrafodelistaCar"/>
    <w:uiPriority w:val="34"/>
    <w:qFormat/>
    <w:rsid w:val="000946D4"/>
    <w:pPr>
      <w:ind w:left="720"/>
      <w:contextualSpacing/>
    </w:pPr>
  </w:style>
  <w:style w:type="character" w:customStyle="1" w:styleId="PrrafodelistaCar">
    <w:name w:val="Párrafo de lista Car"/>
    <w:basedOn w:val="Fuentedeprrafopredeter"/>
    <w:link w:val="Prrafodelista"/>
    <w:uiPriority w:val="34"/>
    <w:locked/>
    <w:rsid w:val="000946D4"/>
  </w:style>
  <w:style w:type="paragraph" w:customStyle="1" w:styleId="PrrafoPIFI">
    <w:name w:val="PárrafoPIFI"/>
    <w:basedOn w:val="Normal"/>
    <w:qFormat/>
    <w:rsid w:val="00E73730"/>
    <w:pPr>
      <w:spacing w:after="200" w:line="240" w:lineRule="auto"/>
      <w:ind w:firstLine="709"/>
      <w:contextualSpacing/>
      <w:jc w:val="both"/>
    </w:pPr>
    <w:rPr>
      <w:rFonts w:ascii="Arial" w:eastAsia="Calibri" w:hAnsi="Arial" w:cs="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F68"/>
  </w:style>
  <w:style w:type="paragraph" w:styleId="Ttulo1">
    <w:name w:val="heading 1"/>
    <w:basedOn w:val="Normal"/>
    <w:next w:val="Normal"/>
    <w:link w:val="Ttulo1Car"/>
    <w:uiPriority w:val="9"/>
    <w:qFormat/>
    <w:rsid w:val="00B82F6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21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211B"/>
  </w:style>
  <w:style w:type="paragraph" w:styleId="Piedepgina">
    <w:name w:val="footer"/>
    <w:basedOn w:val="Normal"/>
    <w:link w:val="PiedepginaCar"/>
    <w:uiPriority w:val="99"/>
    <w:unhideWhenUsed/>
    <w:rsid w:val="002521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211B"/>
  </w:style>
  <w:style w:type="character" w:customStyle="1" w:styleId="Ttulo1Car">
    <w:name w:val="Título 1 Car"/>
    <w:basedOn w:val="Fuentedeprrafopredeter"/>
    <w:link w:val="Ttulo1"/>
    <w:uiPriority w:val="9"/>
    <w:rsid w:val="00B82F68"/>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rsid w:val="00B82F68"/>
    <w:pPr>
      <w:spacing w:before="100" w:beforeAutospacing="1" w:after="100" w:afterAutospacing="1" w:line="240" w:lineRule="auto"/>
    </w:pPr>
    <w:rPr>
      <w:rFonts w:ascii="Times New Roman" w:hAnsi="Times New Roman" w:cs="Times New Roman"/>
      <w:sz w:val="24"/>
      <w:szCs w:val="24"/>
      <w:lang w:eastAsia="es-MX"/>
    </w:rPr>
  </w:style>
  <w:style w:type="paragraph" w:customStyle="1" w:styleId="p1">
    <w:name w:val="p1"/>
    <w:basedOn w:val="Normal"/>
    <w:rsid w:val="00B82F6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1">
    <w:name w:val="s1"/>
    <w:basedOn w:val="Fuentedeprrafopredeter"/>
    <w:rsid w:val="00B82F68"/>
  </w:style>
  <w:style w:type="paragraph" w:customStyle="1" w:styleId="Default">
    <w:name w:val="Default"/>
    <w:rsid w:val="00B82F68"/>
    <w:pPr>
      <w:autoSpaceDE w:val="0"/>
      <w:autoSpaceDN w:val="0"/>
      <w:adjustRightInd w:val="0"/>
      <w:spacing w:after="0" w:line="240" w:lineRule="auto"/>
    </w:pPr>
    <w:rPr>
      <w:rFonts w:ascii="Calibri" w:eastAsiaTheme="minorEastAsia" w:hAnsi="Calibri" w:cs="Calibri"/>
      <w:color w:val="000000"/>
      <w:sz w:val="24"/>
      <w:szCs w:val="24"/>
      <w:lang w:eastAsia="es-ES"/>
    </w:rPr>
  </w:style>
  <w:style w:type="paragraph" w:styleId="Sinespaciado">
    <w:name w:val="No Spacing"/>
    <w:link w:val="SinespaciadoCar"/>
    <w:uiPriority w:val="1"/>
    <w:qFormat/>
    <w:rsid w:val="00B82F68"/>
    <w:pPr>
      <w:spacing w:after="0" w:line="240" w:lineRule="auto"/>
    </w:pPr>
  </w:style>
  <w:style w:type="character" w:customStyle="1" w:styleId="SinespaciadoCar">
    <w:name w:val="Sin espaciado Car"/>
    <w:link w:val="Sinespaciado"/>
    <w:uiPriority w:val="1"/>
    <w:rsid w:val="00B82F68"/>
  </w:style>
  <w:style w:type="paragraph" w:styleId="Textodeglobo">
    <w:name w:val="Balloon Text"/>
    <w:basedOn w:val="Normal"/>
    <w:link w:val="TextodegloboCar"/>
    <w:uiPriority w:val="99"/>
    <w:semiHidden/>
    <w:unhideWhenUsed/>
    <w:rsid w:val="00C243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432D"/>
    <w:rPr>
      <w:rFonts w:ascii="Tahoma" w:hAnsi="Tahoma" w:cs="Tahoma"/>
      <w:sz w:val="16"/>
      <w:szCs w:val="16"/>
    </w:rPr>
  </w:style>
  <w:style w:type="character" w:styleId="Refdecomentario">
    <w:name w:val="annotation reference"/>
    <w:basedOn w:val="Fuentedeprrafopredeter"/>
    <w:uiPriority w:val="99"/>
    <w:semiHidden/>
    <w:unhideWhenUsed/>
    <w:rsid w:val="0065667E"/>
    <w:rPr>
      <w:sz w:val="16"/>
      <w:szCs w:val="16"/>
    </w:rPr>
  </w:style>
  <w:style w:type="paragraph" w:styleId="Textocomentario">
    <w:name w:val="annotation text"/>
    <w:basedOn w:val="Normal"/>
    <w:link w:val="TextocomentarioCar"/>
    <w:uiPriority w:val="99"/>
    <w:semiHidden/>
    <w:unhideWhenUsed/>
    <w:rsid w:val="006566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667E"/>
    <w:rPr>
      <w:sz w:val="20"/>
      <w:szCs w:val="20"/>
    </w:rPr>
  </w:style>
  <w:style w:type="paragraph" w:styleId="Asuntodelcomentario">
    <w:name w:val="annotation subject"/>
    <w:basedOn w:val="Textocomentario"/>
    <w:next w:val="Textocomentario"/>
    <w:link w:val="AsuntodelcomentarioCar"/>
    <w:uiPriority w:val="99"/>
    <w:semiHidden/>
    <w:unhideWhenUsed/>
    <w:rsid w:val="0065667E"/>
    <w:rPr>
      <w:b/>
      <w:bCs/>
    </w:rPr>
  </w:style>
  <w:style w:type="character" w:customStyle="1" w:styleId="AsuntodelcomentarioCar">
    <w:name w:val="Asunto del comentario Car"/>
    <w:basedOn w:val="TextocomentarioCar"/>
    <w:link w:val="Asuntodelcomentario"/>
    <w:uiPriority w:val="99"/>
    <w:semiHidden/>
    <w:rsid w:val="0065667E"/>
    <w:rPr>
      <w:b/>
      <w:bCs/>
      <w:sz w:val="20"/>
      <w:szCs w:val="20"/>
    </w:rPr>
  </w:style>
  <w:style w:type="paragraph" w:styleId="Prrafodelista">
    <w:name w:val="List Paragraph"/>
    <w:basedOn w:val="Normal"/>
    <w:link w:val="PrrafodelistaCar"/>
    <w:uiPriority w:val="34"/>
    <w:qFormat/>
    <w:rsid w:val="000946D4"/>
    <w:pPr>
      <w:ind w:left="720"/>
      <w:contextualSpacing/>
    </w:pPr>
  </w:style>
  <w:style w:type="character" w:customStyle="1" w:styleId="PrrafodelistaCar">
    <w:name w:val="Párrafo de lista Car"/>
    <w:basedOn w:val="Fuentedeprrafopredeter"/>
    <w:link w:val="Prrafodelista"/>
    <w:uiPriority w:val="34"/>
    <w:locked/>
    <w:rsid w:val="000946D4"/>
  </w:style>
  <w:style w:type="paragraph" w:customStyle="1" w:styleId="PrrafoPIFI">
    <w:name w:val="PárrafoPIFI"/>
    <w:basedOn w:val="Normal"/>
    <w:qFormat/>
    <w:rsid w:val="00E73730"/>
    <w:pPr>
      <w:spacing w:after="200" w:line="240" w:lineRule="auto"/>
      <w:ind w:firstLine="709"/>
      <w:contextualSpacing/>
      <w:jc w:val="both"/>
    </w:pPr>
    <w:rPr>
      <w:rFonts w:ascii="Arial" w:eastAsia="Calibri"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CENTRO UNIVERSITARIO DE TONALÁ</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A83F74-E576-4B2F-B10E-04077335F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2632</Words>
  <Characters>14481</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dc:creator>
  <cp:lastModifiedBy>UDI-COPLADI</cp:lastModifiedBy>
  <cp:revision>4</cp:revision>
  <dcterms:created xsi:type="dcterms:W3CDTF">2017-09-25T16:13:00Z</dcterms:created>
  <dcterms:modified xsi:type="dcterms:W3CDTF">2017-10-04T17:01:00Z</dcterms:modified>
</cp:coreProperties>
</file>